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45B" w:rsidRDefault="0097745B" w:rsidP="00E80231">
      <w:pPr>
        <w:spacing w:line="480" w:lineRule="auto"/>
        <w:jc w:val="both"/>
        <w:rPr>
          <w:rFonts w:eastAsia="Times New Roman" w:cs="Times New Roman"/>
          <w:b/>
          <w:bCs/>
          <w:color w:val="000000"/>
          <w:sz w:val="28"/>
          <w:szCs w:val="28"/>
          <w:lang w:eastAsia="en-CA"/>
        </w:rPr>
      </w:pPr>
      <w:r w:rsidRPr="0097745B">
        <w:rPr>
          <w:rFonts w:eastAsia="Times New Roman" w:cs="Times New Roman"/>
          <w:b/>
          <w:bCs/>
          <w:color w:val="000000"/>
          <w:sz w:val="28"/>
          <w:szCs w:val="28"/>
          <w:lang w:eastAsia="en-CA"/>
        </w:rPr>
        <w:drawing>
          <wp:inline distT="0" distB="0" distL="0" distR="0">
            <wp:extent cx="5943600" cy="7691755"/>
            <wp:effectExtent l="19050" t="0" r="0" b="0"/>
            <wp:docPr id="2" name="Picture 0" descr="Suncortitle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cortitlepage.jpg"/>
                    <pic:cNvPicPr/>
                  </pic:nvPicPr>
                  <pic:blipFill>
                    <a:blip r:embed="rId8" cstate="print"/>
                    <a:stretch>
                      <a:fillRect/>
                    </a:stretch>
                  </pic:blipFill>
                  <pic:spPr>
                    <a:xfrm>
                      <a:off x="0" y="0"/>
                      <a:ext cx="5943600" cy="7691755"/>
                    </a:xfrm>
                    <a:prstGeom prst="rect">
                      <a:avLst/>
                    </a:prstGeom>
                  </pic:spPr>
                </pic:pic>
              </a:graphicData>
            </a:graphic>
          </wp:inline>
        </w:drawing>
      </w:r>
    </w:p>
    <w:p w:rsidR="0097745B" w:rsidRDefault="0097745B">
      <w:pPr>
        <w:rPr>
          <w:rFonts w:eastAsia="Times New Roman" w:cs="Times New Roman"/>
          <w:b/>
          <w:bCs/>
          <w:color w:val="000000"/>
          <w:sz w:val="28"/>
          <w:szCs w:val="28"/>
          <w:lang w:eastAsia="en-CA"/>
        </w:rPr>
      </w:pPr>
      <w:r>
        <w:rPr>
          <w:rFonts w:eastAsia="Times New Roman" w:cs="Times New Roman"/>
          <w:b/>
          <w:bCs/>
          <w:color w:val="000000"/>
          <w:sz w:val="28"/>
          <w:szCs w:val="28"/>
          <w:lang w:eastAsia="en-CA"/>
        </w:rPr>
        <w:br w:type="page"/>
      </w:r>
    </w:p>
    <w:p w:rsidR="00857F65" w:rsidRPr="006C7CEB" w:rsidRDefault="006C7CEB" w:rsidP="00E80231">
      <w:pPr>
        <w:spacing w:line="480" w:lineRule="auto"/>
        <w:jc w:val="both"/>
        <w:rPr>
          <w:rFonts w:eastAsia="Times New Roman" w:cs="Times New Roman"/>
          <w:sz w:val="28"/>
          <w:szCs w:val="28"/>
          <w:lang w:eastAsia="en-CA"/>
        </w:rPr>
      </w:pPr>
      <w:r w:rsidRPr="006C7CEB">
        <w:rPr>
          <w:rFonts w:eastAsia="Times New Roman" w:cs="Times New Roman"/>
          <w:b/>
          <w:bCs/>
          <w:color w:val="000000"/>
          <w:sz w:val="28"/>
          <w:szCs w:val="28"/>
          <w:lang w:eastAsia="en-CA"/>
        </w:rPr>
        <w:lastRenderedPageBreak/>
        <w:t>I.</w:t>
      </w:r>
      <w:r>
        <w:rPr>
          <w:rFonts w:eastAsia="Times New Roman" w:cs="Times New Roman"/>
          <w:b/>
          <w:bCs/>
          <w:color w:val="000000"/>
          <w:sz w:val="28"/>
          <w:szCs w:val="28"/>
          <w:lang w:eastAsia="en-CA"/>
        </w:rPr>
        <w:tab/>
      </w:r>
      <w:r w:rsidR="00857F65" w:rsidRPr="006C7CEB">
        <w:rPr>
          <w:rFonts w:eastAsia="Times New Roman" w:cs="Times New Roman"/>
          <w:b/>
          <w:bCs/>
          <w:color w:val="000000"/>
          <w:sz w:val="28"/>
          <w:szCs w:val="28"/>
          <w:lang w:eastAsia="en-CA"/>
        </w:rPr>
        <w:t>Introduction</w:t>
      </w:r>
    </w:p>
    <w:p w:rsidR="00932361" w:rsidRPr="006D148F" w:rsidRDefault="00857F65" w:rsidP="00E80231">
      <w:pPr>
        <w:spacing w:line="480" w:lineRule="auto"/>
        <w:ind w:firstLine="720"/>
        <w:jc w:val="both"/>
        <w:rPr>
          <w:rFonts w:eastAsia="Times New Roman" w:cs="Times New Roman"/>
          <w:sz w:val="22"/>
          <w:lang w:eastAsia="en-CA"/>
        </w:rPr>
      </w:pPr>
      <w:r w:rsidRPr="00166EC9">
        <w:rPr>
          <w:rFonts w:eastAsia="Times New Roman" w:cs="Times New Roman"/>
          <w:color w:val="000000"/>
          <w:sz w:val="22"/>
          <w:lang w:eastAsia="en-CA"/>
        </w:rPr>
        <w:t>Canadian pipelines move approximately 1.2 bill</w:t>
      </w:r>
      <w:r w:rsidR="00907A47">
        <w:rPr>
          <w:rFonts w:eastAsia="Times New Roman" w:cs="Times New Roman"/>
          <w:color w:val="000000"/>
          <w:sz w:val="22"/>
          <w:lang w:eastAsia="en-CA"/>
        </w:rPr>
        <w:t xml:space="preserve">ion barrels of </w:t>
      </w:r>
      <w:r w:rsidRPr="00166EC9">
        <w:rPr>
          <w:rFonts w:eastAsia="Times New Roman" w:cs="Times New Roman"/>
          <w:color w:val="000000"/>
          <w:sz w:val="22"/>
          <w:lang w:eastAsia="en-CA"/>
        </w:rPr>
        <w:t>crude oil</w:t>
      </w:r>
      <w:r w:rsidR="00907A47">
        <w:rPr>
          <w:rFonts w:eastAsia="Times New Roman" w:cs="Times New Roman"/>
          <w:color w:val="000000"/>
          <w:sz w:val="22"/>
          <w:lang w:eastAsia="en-CA"/>
        </w:rPr>
        <w:t xml:space="preserve"> and petroleum products</w:t>
      </w:r>
      <w:r w:rsidR="00495B7B">
        <w:rPr>
          <w:rFonts w:eastAsia="Times New Roman" w:cs="Times New Roman"/>
          <w:color w:val="000000"/>
          <w:sz w:val="22"/>
          <w:lang w:eastAsia="en-CA"/>
        </w:rPr>
        <w:t xml:space="preserve"> each year while</w:t>
      </w:r>
      <w:r w:rsidRPr="00166EC9">
        <w:rPr>
          <w:rFonts w:eastAsia="Times New Roman" w:cs="Times New Roman"/>
          <w:color w:val="000000"/>
          <w:sz w:val="22"/>
          <w:lang w:eastAsia="en-CA"/>
        </w:rPr>
        <w:t xml:space="preserve"> oil sands production is projected to increase approximately 150% by 2025 to 3.7 million barrels a day from </w:t>
      </w:r>
      <w:r w:rsidR="001F1708" w:rsidRPr="00166EC9">
        <w:rPr>
          <w:rFonts w:eastAsia="Times New Roman" w:cs="Times New Roman"/>
          <w:color w:val="000000"/>
          <w:sz w:val="22"/>
          <w:lang w:eastAsia="en-CA"/>
        </w:rPr>
        <w:t>1.5 million a day in 2010.</w:t>
      </w:r>
      <w:r w:rsidR="002F391E" w:rsidRPr="00166EC9">
        <w:rPr>
          <w:rStyle w:val="FootnoteReference"/>
          <w:rFonts w:eastAsia="Times New Roman" w:cs="Times New Roman"/>
          <w:color w:val="000000"/>
          <w:sz w:val="22"/>
          <w:lang w:eastAsia="en-CA"/>
        </w:rPr>
        <w:footnoteReference w:id="1"/>
      </w:r>
      <w:r w:rsidR="00EC1C0F">
        <w:rPr>
          <w:rFonts w:eastAsia="Times New Roman" w:cs="Times New Roman"/>
          <w:color w:val="000000"/>
          <w:sz w:val="22"/>
          <w:lang w:eastAsia="en-CA"/>
        </w:rPr>
        <w:t xml:space="preserve">  Energy use is</w:t>
      </w:r>
      <w:r w:rsidRPr="00166EC9">
        <w:rPr>
          <w:rFonts w:eastAsia="Times New Roman" w:cs="Times New Roman"/>
          <w:color w:val="000000"/>
          <w:sz w:val="22"/>
          <w:lang w:eastAsia="en-CA"/>
        </w:rPr>
        <w:t xml:space="preserve"> continuous</w:t>
      </w:r>
      <w:r w:rsidR="00EC1C0F">
        <w:rPr>
          <w:rFonts w:eastAsia="Times New Roman" w:cs="Times New Roman"/>
          <w:color w:val="000000"/>
          <w:sz w:val="22"/>
          <w:lang w:eastAsia="en-CA"/>
        </w:rPr>
        <w:t>ly trending upward</w:t>
      </w:r>
      <w:r w:rsidR="00D869B1">
        <w:rPr>
          <w:rFonts w:eastAsia="Times New Roman" w:cs="Times New Roman"/>
          <w:color w:val="000000"/>
          <w:sz w:val="22"/>
          <w:lang w:eastAsia="en-CA"/>
        </w:rPr>
        <w:t>s</w:t>
      </w:r>
      <w:r w:rsidRPr="00166EC9">
        <w:rPr>
          <w:rFonts w:eastAsia="Times New Roman" w:cs="Times New Roman"/>
          <w:color w:val="000000"/>
          <w:sz w:val="22"/>
          <w:lang w:eastAsia="en-CA"/>
        </w:rPr>
        <w:t xml:space="preserve"> as the global population and relative wealth of society climbs</w:t>
      </w:r>
      <w:r w:rsidR="005F7789" w:rsidRPr="00166EC9">
        <w:rPr>
          <w:rFonts w:eastAsia="Times New Roman" w:cs="Times New Roman"/>
          <w:color w:val="000000"/>
          <w:sz w:val="22"/>
          <w:lang w:eastAsia="en-CA"/>
        </w:rPr>
        <w:t>.  Consequently</w:t>
      </w:r>
      <w:r w:rsidRPr="00166EC9">
        <w:rPr>
          <w:rFonts w:eastAsia="Times New Roman" w:cs="Times New Roman"/>
          <w:color w:val="000000"/>
          <w:sz w:val="22"/>
          <w:lang w:eastAsia="en-CA"/>
        </w:rPr>
        <w:t xml:space="preserve"> the global demand for oil will continue to grow.  </w:t>
      </w:r>
      <w:r w:rsidR="006D148F">
        <w:rPr>
          <w:rFonts w:eastAsia="Times New Roman" w:cs="Times New Roman"/>
          <w:color w:val="000000"/>
          <w:sz w:val="22"/>
          <w:lang w:eastAsia="en-CA"/>
        </w:rPr>
        <w:t xml:space="preserve">Suncor Energy sees this as a strong </w:t>
      </w:r>
      <w:r w:rsidR="006F7F0C">
        <w:rPr>
          <w:rFonts w:eastAsia="Times New Roman" w:cs="Times New Roman"/>
          <w:color w:val="000000"/>
          <w:sz w:val="22"/>
          <w:lang w:eastAsia="en-CA"/>
        </w:rPr>
        <w:t>opportunity for economic growth however t</w:t>
      </w:r>
      <w:r w:rsidRPr="00166EC9">
        <w:rPr>
          <w:rFonts w:eastAsia="Times New Roman" w:cs="Times New Roman"/>
          <w:color w:val="000000"/>
          <w:sz w:val="22"/>
          <w:lang w:eastAsia="en-CA"/>
        </w:rPr>
        <w:t>he current state of the Canadian pipeline system does not have the capacity to meet the growing energy requirements of these budding economies.</w:t>
      </w:r>
    </w:p>
    <w:p w:rsidR="00857F65" w:rsidRPr="00166EC9" w:rsidRDefault="007178D0" w:rsidP="00E80231">
      <w:pPr>
        <w:spacing w:line="480" w:lineRule="auto"/>
        <w:ind w:firstLine="720"/>
        <w:jc w:val="both"/>
        <w:rPr>
          <w:rFonts w:eastAsia="Times New Roman" w:cs="Times New Roman"/>
          <w:color w:val="000000"/>
          <w:sz w:val="22"/>
          <w:lang w:eastAsia="en-CA"/>
        </w:rPr>
      </w:pPr>
      <w:r w:rsidRPr="007178D0">
        <w:rPr>
          <w:sz w:val="22"/>
        </w:rPr>
        <w:t>In 1967, Suncor pioneered the way for oil sands development in Fort McMurray but</w:t>
      </w:r>
      <w:r>
        <w:t xml:space="preserve"> </w:t>
      </w:r>
      <w:r w:rsidR="00857F65" w:rsidRPr="00166EC9">
        <w:rPr>
          <w:rFonts w:eastAsia="Times New Roman" w:cs="Times New Roman"/>
          <w:color w:val="000000"/>
          <w:sz w:val="22"/>
          <w:lang w:eastAsia="en-CA"/>
        </w:rPr>
        <w:t>have since expanded to become a globally competitive integrated energy company.  It is Canada’s largest energy producer and the fifth largest in North America.  Suncor is respon</w:t>
      </w:r>
      <w:r w:rsidR="003A597C">
        <w:rPr>
          <w:rFonts w:eastAsia="Times New Roman" w:cs="Times New Roman"/>
          <w:color w:val="000000"/>
          <w:sz w:val="22"/>
          <w:lang w:eastAsia="en-CA"/>
        </w:rPr>
        <w:t>sible for thousands of</w:t>
      </w:r>
      <w:r w:rsidR="00857F65" w:rsidRPr="00166EC9">
        <w:rPr>
          <w:rFonts w:eastAsia="Times New Roman" w:cs="Times New Roman"/>
          <w:color w:val="000000"/>
          <w:sz w:val="22"/>
          <w:lang w:eastAsia="en-CA"/>
        </w:rPr>
        <w:t xml:space="preserve"> jobs as well as support initiatives for local communities, millions of dollars infused into the Canadian economy each year and implementing new environmental technologies.</w:t>
      </w:r>
    </w:p>
    <w:p w:rsidR="00286913" w:rsidRPr="000673E6" w:rsidRDefault="004C4B3A" w:rsidP="00E80231">
      <w:pPr>
        <w:spacing w:line="480" w:lineRule="auto"/>
        <w:jc w:val="both"/>
        <w:rPr>
          <w:rFonts w:eastAsia="Times New Roman" w:cs="Times New Roman"/>
          <w:color w:val="000000"/>
          <w:sz w:val="22"/>
          <w:lang w:eastAsia="en-CA"/>
        </w:rPr>
      </w:pPr>
      <w:r>
        <w:rPr>
          <w:rFonts w:eastAsia="Times New Roman" w:cs="Times New Roman"/>
          <w:b/>
          <w:color w:val="000000"/>
          <w:sz w:val="28"/>
          <w:szCs w:val="28"/>
          <w:lang w:eastAsia="en-CA"/>
        </w:rPr>
        <w:tab/>
      </w:r>
      <w:r w:rsidR="000673E6">
        <w:rPr>
          <w:rFonts w:eastAsia="Times New Roman" w:cs="Times New Roman"/>
          <w:color w:val="000000"/>
          <w:sz w:val="22"/>
          <w:lang w:eastAsia="en-CA"/>
        </w:rPr>
        <w:t>As a strong constituent of</w:t>
      </w:r>
      <w:r w:rsidR="0025726C">
        <w:rPr>
          <w:rFonts w:eastAsia="Times New Roman" w:cs="Times New Roman"/>
          <w:color w:val="000000"/>
          <w:sz w:val="22"/>
          <w:lang w:eastAsia="en-CA"/>
        </w:rPr>
        <w:t xml:space="preserve"> the Canadian </w:t>
      </w:r>
      <w:r w:rsidR="00635F9C">
        <w:rPr>
          <w:rFonts w:eastAsia="Times New Roman" w:cs="Times New Roman"/>
          <w:color w:val="000000"/>
          <w:sz w:val="22"/>
          <w:lang w:eastAsia="en-CA"/>
        </w:rPr>
        <w:t xml:space="preserve">economy </w:t>
      </w:r>
      <w:r w:rsidR="004E69B7">
        <w:rPr>
          <w:rFonts w:eastAsia="Times New Roman" w:cs="Times New Roman"/>
          <w:color w:val="000000"/>
          <w:sz w:val="22"/>
          <w:lang w:eastAsia="en-CA"/>
        </w:rPr>
        <w:t xml:space="preserve">with a </w:t>
      </w:r>
      <w:r w:rsidR="00CA1017">
        <w:rPr>
          <w:rFonts w:eastAsia="Times New Roman" w:cs="Times New Roman"/>
          <w:color w:val="000000"/>
          <w:sz w:val="22"/>
          <w:lang w:eastAsia="en-CA"/>
        </w:rPr>
        <w:t>large stake in the future of th</w:t>
      </w:r>
      <w:r w:rsidR="00D81B86">
        <w:rPr>
          <w:rFonts w:eastAsia="Times New Roman" w:cs="Times New Roman"/>
          <w:color w:val="000000"/>
          <w:sz w:val="22"/>
          <w:lang w:eastAsia="en-CA"/>
        </w:rPr>
        <w:t>e proposed Enbridge Northern Gateway Pipeline project</w:t>
      </w:r>
      <w:r w:rsidR="00C44722">
        <w:rPr>
          <w:rFonts w:eastAsia="Times New Roman" w:cs="Times New Roman"/>
          <w:color w:val="000000"/>
          <w:sz w:val="22"/>
          <w:lang w:eastAsia="en-CA"/>
        </w:rPr>
        <w:t xml:space="preserve">, it is imperative that Suncor Energy Inc be </w:t>
      </w:r>
      <w:r w:rsidR="00054050">
        <w:rPr>
          <w:rFonts w:eastAsia="Times New Roman" w:cs="Times New Roman"/>
          <w:color w:val="000000"/>
          <w:sz w:val="22"/>
          <w:lang w:eastAsia="en-CA"/>
        </w:rPr>
        <w:t xml:space="preserve">an integral part of </w:t>
      </w:r>
      <w:r w:rsidR="007C633E">
        <w:rPr>
          <w:rFonts w:eastAsia="Times New Roman" w:cs="Times New Roman"/>
          <w:color w:val="000000"/>
          <w:sz w:val="22"/>
          <w:lang w:eastAsia="en-CA"/>
        </w:rPr>
        <w:t>the decision-making process</w:t>
      </w:r>
      <w:r w:rsidR="00437ED0">
        <w:rPr>
          <w:rFonts w:eastAsia="Times New Roman" w:cs="Times New Roman"/>
          <w:color w:val="000000"/>
          <w:sz w:val="22"/>
          <w:lang w:eastAsia="en-CA"/>
        </w:rPr>
        <w:t>.</w:t>
      </w:r>
    </w:p>
    <w:p w:rsidR="00286913" w:rsidRDefault="00286913" w:rsidP="00E80231">
      <w:pPr>
        <w:spacing w:line="480" w:lineRule="auto"/>
        <w:jc w:val="both"/>
        <w:rPr>
          <w:rFonts w:eastAsia="Times New Roman" w:cs="Times New Roman"/>
          <w:b/>
          <w:color w:val="000000"/>
          <w:sz w:val="28"/>
          <w:szCs w:val="28"/>
          <w:lang w:eastAsia="en-CA"/>
        </w:rPr>
      </w:pPr>
    </w:p>
    <w:p w:rsidR="00794196" w:rsidRDefault="00794196" w:rsidP="00E80231">
      <w:pPr>
        <w:spacing w:line="480" w:lineRule="auto"/>
        <w:jc w:val="both"/>
        <w:rPr>
          <w:rFonts w:eastAsia="Times New Roman" w:cs="Times New Roman"/>
          <w:b/>
          <w:color w:val="000000"/>
          <w:sz w:val="28"/>
          <w:szCs w:val="28"/>
          <w:lang w:eastAsia="en-CA"/>
        </w:rPr>
      </w:pPr>
    </w:p>
    <w:p w:rsidR="00185AD4" w:rsidRPr="006C7CEB" w:rsidRDefault="006C7CEB" w:rsidP="00E80231">
      <w:pPr>
        <w:spacing w:line="480" w:lineRule="auto"/>
        <w:jc w:val="both"/>
        <w:rPr>
          <w:rFonts w:eastAsia="Times New Roman" w:cs="Times New Roman"/>
          <w:b/>
          <w:color w:val="000000"/>
          <w:sz w:val="28"/>
          <w:szCs w:val="28"/>
          <w:lang w:eastAsia="en-CA"/>
        </w:rPr>
      </w:pPr>
      <w:r>
        <w:rPr>
          <w:rFonts w:eastAsia="Times New Roman" w:cs="Times New Roman"/>
          <w:b/>
          <w:color w:val="000000"/>
          <w:sz w:val="28"/>
          <w:szCs w:val="28"/>
          <w:lang w:eastAsia="en-CA"/>
        </w:rPr>
        <w:lastRenderedPageBreak/>
        <w:t>II.</w:t>
      </w:r>
      <w:r>
        <w:rPr>
          <w:rFonts w:eastAsia="Times New Roman" w:cs="Times New Roman"/>
          <w:b/>
          <w:color w:val="000000"/>
          <w:sz w:val="28"/>
          <w:szCs w:val="28"/>
          <w:lang w:eastAsia="en-CA"/>
        </w:rPr>
        <w:tab/>
        <w:t>Background</w:t>
      </w:r>
    </w:p>
    <w:p w:rsidR="00185AD4" w:rsidRPr="00E732FD" w:rsidRDefault="00827513" w:rsidP="00E80231">
      <w:pPr>
        <w:spacing w:line="480" w:lineRule="auto"/>
        <w:ind w:firstLine="720"/>
        <w:jc w:val="both"/>
        <w:rPr>
          <w:rFonts w:eastAsia="Times New Roman" w:cs="Times New Roman"/>
          <w:b/>
          <w:sz w:val="24"/>
          <w:szCs w:val="24"/>
          <w:lang w:eastAsia="en-CA"/>
        </w:rPr>
      </w:pPr>
      <w:r w:rsidRPr="00E732FD">
        <w:rPr>
          <w:rFonts w:eastAsia="Times New Roman" w:cs="Times New Roman"/>
          <w:b/>
          <w:color w:val="000000"/>
          <w:sz w:val="24"/>
          <w:szCs w:val="24"/>
          <w:lang w:eastAsia="en-CA"/>
        </w:rPr>
        <w:t>i.</w:t>
      </w:r>
      <w:r w:rsidRPr="00E732FD">
        <w:rPr>
          <w:rFonts w:eastAsia="Times New Roman" w:cs="Times New Roman"/>
          <w:b/>
          <w:color w:val="000000"/>
          <w:sz w:val="24"/>
          <w:szCs w:val="24"/>
          <w:lang w:eastAsia="en-CA"/>
        </w:rPr>
        <w:tab/>
      </w:r>
      <w:r w:rsidR="00185AD4" w:rsidRPr="00E732FD">
        <w:rPr>
          <w:rFonts w:eastAsia="Times New Roman" w:cs="Times New Roman"/>
          <w:b/>
          <w:color w:val="000000"/>
          <w:sz w:val="24"/>
          <w:szCs w:val="24"/>
          <w:lang w:eastAsia="en-CA"/>
        </w:rPr>
        <w:t>Triple Bottom Line</w:t>
      </w:r>
    </w:p>
    <w:p w:rsidR="00423BC4" w:rsidRPr="00166EC9" w:rsidRDefault="00857F65" w:rsidP="00E80231">
      <w:pPr>
        <w:spacing w:line="480" w:lineRule="auto"/>
        <w:ind w:firstLine="720"/>
        <w:jc w:val="both"/>
        <w:rPr>
          <w:rFonts w:eastAsia="Times New Roman" w:cs="Times New Roman"/>
          <w:color w:val="000000"/>
          <w:sz w:val="22"/>
          <w:lang w:eastAsia="en-CA"/>
        </w:rPr>
      </w:pPr>
      <w:r w:rsidRPr="00166EC9">
        <w:rPr>
          <w:rFonts w:eastAsia="Times New Roman" w:cs="Times New Roman"/>
          <w:color w:val="000000"/>
          <w:sz w:val="22"/>
          <w:lang w:eastAsia="en-CA"/>
        </w:rPr>
        <w:t>Suncor is devoted to a</w:t>
      </w:r>
      <w:r w:rsidR="004B4988" w:rsidRPr="00166EC9">
        <w:rPr>
          <w:rFonts w:eastAsia="Times New Roman" w:cs="Times New Roman"/>
          <w:color w:val="000000"/>
          <w:sz w:val="22"/>
          <w:lang w:eastAsia="en-CA"/>
        </w:rPr>
        <w:t xml:space="preserve"> triple bottom line</w:t>
      </w:r>
      <w:r w:rsidR="00BF761C">
        <w:rPr>
          <w:rFonts w:eastAsia="Times New Roman" w:cs="Times New Roman"/>
          <w:color w:val="000000"/>
          <w:sz w:val="22"/>
          <w:lang w:eastAsia="en-CA"/>
        </w:rPr>
        <w:t>,</w:t>
      </w:r>
      <w:r w:rsidR="004B4988" w:rsidRPr="00166EC9">
        <w:rPr>
          <w:rFonts w:eastAsia="Times New Roman" w:cs="Times New Roman"/>
          <w:color w:val="000000"/>
          <w:sz w:val="22"/>
          <w:lang w:eastAsia="en-CA"/>
        </w:rPr>
        <w:t xml:space="preserve"> meaning</w:t>
      </w:r>
      <w:r w:rsidRPr="00166EC9">
        <w:rPr>
          <w:rFonts w:eastAsia="Times New Roman" w:cs="Times New Roman"/>
          <w:color w:val="000000"/>
          <w:sz w:val="22"/>
          <w:lang w:eastAsia="en-CA"/>
        </w:rPr>
        <w:t xml:space="preserve"> the company measures success with economic, social and environmental considerations.  Oil sa</w:t>
      </w:r>
      <w:r w:rsidR="00FC0968">
        <w:rPr>
          <w:rFonts w:eastAsia="Times New Roman" w:cs="Times New Roman"/>
          <w:color w:val="000000"/>
          <w:sz w:val="22"/>
          <w:lang w:eastAsia="en-CA"/>
        </w:rPr>
        <w:t xml:space="preserve">nd revenues for 2010 equated </w:t>
      </w:r>
      <w:r w:rsidRPr="00166EC9">
        <w:rPr>
          <w:rFonts w:eastAsia="Times New Roman" w:cs="Times New Roman"/>
          <w:color w:val="000000"/>
          <w:sz w:val="22"/>
          <w:lang w:eastAsia="en-CA"/>
        </w:rPr>
        <w:t>a gain of $681 million in oil sand roya</w:t>
      </w:r>
      <w:r w:rsidR="002A0AF5" w:rsidRPr="00166EC9">
        <w:rPr>
          <w:rFonts w:eastAsia="Times New Roman" w:cs="Times New Roman"/>
          <w:color w:val="000000"/>
          <w:sz w:val="22"/>
          <w:lang w:eastAsia="en-CA"/>
        </w:rPr>
        <w:t>lties alone.  If</w:t>
      </w:r>
      <w:r w:rsidRPr="00166EC9">
        <w:rPr>
          <w:rFonts w:eastAsia="Times New Roman" w:cs="Times New Roman"/>
          <w:color w:val="000000"/>
          <w:sz w:val="22"/>
          <w:lang w:eastAsia="en-CA"/>
        </w:rPr>
        <w:t xml:space="preserve"> plans for growth</w:t>
      </w:r>
      <w:r w:rsidR="002A0AF5" w:rsidRPr="00166EC9">
        <w:rPr>
          <w:rFonts w:eastAsia="Times New Roman" w:cs="Times New Roman"/>
          <w:color w:val="000000"/>
          <w:sz w:val="22"/>
          <w:lang w:eastAsia="en-CA"/>
        </w:rPr>
        <w:t xml:space="preserve"> continue</w:t>
      </w:r>
      <w:r w:rsidR="003A3A9F" w:rsidRPr="00166EC9">
        <w:rPr>
          <w:rFonts w:eastAsia="Times New Roman" w:cs="Times New Roman"/>
          <w:color w:val="000000"/>
          <w:sz w:val="22"/>
          <w:lang w:eastAsia="en-CA"/>
        </w:rPr>
        <w:t xml:space="preserve"> as scheduled</w:t>
      </w:r>
      <w:r w:rsidR="00B61ECC">
        <w:rPr>
          <w:rFonts w:eastAsia="Times New Roman" w:cs="Times New Roman"/>
          <w:color w:val="000000"/>
          <w:sz w:val="22"/>
          <w:lang w:eastAsia="en-CA"/>
        </w:rPr>
        <w:t>,</w:t>
      </w:r>
      <w:r w:rsidRPr="00166EC9">
        <w:rPr>
          <w:rFonts w:eastAsia="Times New Roman" w:cs="Times New Roman"/>
          <w:color w:val="000000"/>
          <w:sz w:val="22"/>
          <w:lang w:eastAsia="en-CA"/>
        </w:rPr>
        <w:t xml:space="preserve"> th</w:t>
      </w:r>
      <w:r w:rsidR="00F2497E">
        <w:rPr>
          <w:rFonts w:eastAsia="Times New Roman" w:cs="Times New Roman"/>
          <w:color w:val="000000"/>
          <w:sz w:val="22"/>
          <w:lang w:eastAsia="en-CA"/>
        </w:rPr>
        <w:t>e Canadian government’s</w:t>
      </w:r>
      <w:r w:rsidRPr="00166EC9">
        <w:rPr>
          <w:rFonts w:eastAsia="Times New Roman" w:cs="Times New Roman"/>
          <w:color w:val="000000"/>
          <w:sz w:val="22"/>
          <w:lang w:eastAsia="en-CA"/>
        </w:rPr>
        <w:t xml:space="preserve"> t</w:t>
      </w:r>
      <w:r w:rsidR="00F2497E">
        <w:rPr>
          <w:rFonts w:eastAsia="Times New Roman" w:cs="Times New Roman"/>
          <w:color w:val="000000"/>
          <w:sz w:val="22"/>
          <w:lang w:eastAsia="en-CA"/>
        </w:rPr>
        <w:t>ax revenue</w:t>
      </w:r>
      <w:r w:rsidRPr="00166EC9">
        <w:rPr>
          <w:rFonts w:eastAsia="Times New Roman" w:cs="Times New Roman"/>
          <w:color w:val="000000"/>
          <w:sz w:val="22"/>
          <w:lang w:eastAsia="en-CA"/>
        </w:rPr>
        <w:t xml:space="preserve"> by 2035 will t</w:t>
      </w:r>
      <w:r w:rsidR="00F2497E">
        <w:rPr>
          <w:rFonts w:eastAsia="Times New Roman" w:cs="Times New Roman"/>
          <w:color w:val="000000"/>
          <w:sz w:val="22"/>
          <w:lang w:eastAsia="en-CA"/>
        </w:rPr>
        <w:t>otal $311 billion</w:t>
      </w:r>
      <w:r w:rsidR="00376143" w:rsidRPr="00166EC9">
        <w:rPr>
          <w:rFonts w:eastAsia="Times New Roman" w:cs="Times New Roman"/>
          <w:color w:val="000000"/>
          <w:sz w:val="22"/>
          <w:lang w:eastAsia="en-CA"/>
        </w:rPr>
        <w:t xml:space="preserve">.  This increase in growth </w:t>
      </w:r>
      <w:r w:rsidR="006020AE" w:rsidRPr="00166EC9">
        <w:rPr>
          <w:rFonts w:eastAsia="Times New Roman" w:cs="Times New Roman"/>
          <w:color w:val="000000"/>
          <w:sz w:val="22"/>
          <w:lang w:eastAsia="en-CA"/>
        </w:rPr>
        <w:t xml:space="preserve">will result in a rise </w:t>
      </w:r>
      <w:r w:rsidRPr="00166EC9">
        <w:rPr>
          <w:rFonts w:eastAsia="Times New Roman" w:cs="Times New Roman"/>
          <w:color w:val="000000"/>
          <w:sz w:val="22"/>
          <w:lang w:eastAsia="en-CA"/>
        </w:rPr>
        <w:t>of</w:t>
      </w:r>
      <w:r w:rsidR="006020AE" w:rsidRPr="00166EC9">
        <w:rPr>
          <w:rFonts w:eastAsia="Times New Roman" w:cs="Times New Roman"/>
          <w:color w:val="000000"/>
          <w:sz w:val="22"/>
          <w:lang w:eastAsia="en-CA"/>
        </w:rPr>
        <w:t xml:space="preserve"> up to</w:t>
      </w:r>
      <w:r w:rsidRPr="00166EC9">
        <w:rPr>
          <w:rFonts w:eastAsia="Times New Roman" w:cs="Times New Roman"/>
          <w:color w:val="000000"/>
          <w:sz w:val="22"/>
          <w:lang w:eastAsia="en-CA"/>
        </w:rPr>
        <w:t xml:space="preserve"> 800,000 </w:t>
      </w:r>
      <w:r w:rsidR="006020AE" w:rsidRPr="00166EC9">
        <w:rPr>
          <w:rFonts w:eastAsia="Times New Roman" w:cs="Times New Roman"/>
          <w:color w:val="000000"/>
          <w:sz w:val="22"/>
          <w:lang w:eastAsia="en-CA"/>
        </w:rPr>
        <w:t xml:space="preserve">possible </w:t>
      </w:r>
      <w:r w:rsidRPr="00166EC9">
        <w:rPr>
          <w:rFonts w:eastAsia="Times New Roman" w:cs="Times New Roman"/>
          <w:color w:val="000000"/>
          <w:sz w:val="22"/>
          <w:lang w:eastAsia="en-CA"/>
        </w:rPr>
        <w:t>jobs within the same period of time.</w:t>
      </w:r>
      <w:r w:rsidR="00A16DC6" w:rsidRPr="00166EC9">
        <w:rPr>
          <w:rStyle w:val="FootnoteReference"/>
          <w:rFonts w:eastAsia="Times New Roman" w:cs="Times New Roman"/>
          <w:color w:val="000000"/>
          <w:sz w:val="22"/>
          <w:lang w:eastAsia="en-CA"/>
        </w:rPr>
        <w:footnoteReference w:id="2"/>
      </w:r>
      <w:r w:rsidRPr="00166EC9">
        <w:rPr>
          <w:rFonts w:eastAsia="Times New Roman" w:cs="Times New Roman"/>
          <w:color w:val="000000"/>
          <w:sz w:val="22"/>
          <w:lang w:eastAsia="en-CA"/>
        </w:rPr>
        <w:t xml:space="preserve">  </w:t>
      </w:r>
    </w:p>
    <w:p w:rsidR="00484D7B" w:rsidRPr="00166EC9" w:rsidRDefault="00B438D6" w:rsidP="00E80231">
      <w:pPr>
        <w:spacing w:line="480" w:lineRule="auto"/>
        <w:ind w:firstLine="720"/>
        <w:jc w:val="both"/>
        <w:rPr>
          <w:rFonts w:cs="Times New Roman"/>
          <w:color w:val="000000"/>
          <w:sz w:val="22"/>
        </w:rPr>
      </w:pPr>
      <w:r>
        <w:rPr>
          <w:rFonts w:eastAsia="Times New Roman" w:cs="Times New Roman"/>
          <w:color w:val="000000"/>
          <w:sz w:val="22"/>
          <w:lang w:eastAsia="en-CA"/>
        </w:rPr>
        <w:t>In</w:t>
      </w:r>
      <w:r w:rsidR="00220F28" w:rsidRPr="00166EC9">
        <w:rPr>
          <w:rFonts w:eastAsia="Times New Roman" w:cs="Times New Roman"/>
          <w:color w:val="000000"/>
          <w:sz w:val="22"/>
          <w:lang w:eastAsia="en-CA"/>
        </w:rPr>
        <w:t xml:space="preserve"> </w:t>
      </w:r>
      <w:r>
        <w:rPr>
          <w:rFonts w:eastAsia="Times New Roman" w:cs="Times New Roman"/>
          <w:color w:val="000000"/>
          <w:sz w:val="22"/>
          <w:lang w:eastAsia="en-CA"/>
        </w:rPr>
        <w:t>addition to</w:t>
      </w:r>
      <w:r w:rsidR="00A86F91">
        <w:rPr>
          <w:rFonts w:eastAsia="Times New Roman" w:cs="Times New Roman"/>
          <w:color w:val="000000"/>
          <w:sz w:val="22"/>
          <w:lang w:eastAsia="en-CA"/>
        </w:rPr>
        <w:t xml:space="preserve"> a large</w:t>
      </w:r>
      <w:r w:rsidR="00EA610F" w:rsidRPr="00166EC9">
        <w:rPr>
          <w:rFonts w:eastAsia="Times New Roman" w:cs="Times New Roman"/>
          <w:color w:val="000000"/>
          <w:sz w:val="22"/>
          <w:lang w:eastAsia="en-CA"/>
        </w:rPr>
        <w:t xml:space="preserve"> number of jobs being injected into the Canadian working environment,</w:t>
      </w:r>
      <w:r w:rsidR="00BC4D8D">
        <w:rPr>
          <w:rFonts w:eastAsia="Times New Roman" w:cs="Times New Roman"/>
          <w:color w:val="000000"/>
          <w:sz w:val="22"/>
          <w:lang w:eastAsia="en-CA"/>
        </w:rPr>
        <w:t xml:space="preserve"> Suncor is devoted to a</w:t>
      </w:r>
      <w:r w:rsidR="0023255E" w:rsidRPr="00166EC9">
        <w:rPr>
          <w:rFonts w:eastAsia="Times New Roman" w:cs="Times New Roman"/>
          <w:color w:val="000000"/>
          <w:sz w:val="22"/>
          <w:lang w:eastAsia="en-CA"/>
        </w:rPr>
        <w:t xml:space="preserve"> positive social impact </w:t>
      </w:r>
      <w:r w:rsidR="0021421E" w:rsidRPr="00166EC9">
        <w:rPr>
          <w:rFonts w:eastAsia="Times New Roman" w:cs="Times New Roman"/>
          <w:color w:val="000000"/>
          <w:sz w:val="22"/>
          <w:lang w:eastAsia="en-CA"/>
        </w:rPr>
        <w:t xml:space="preserve">with citizens and communities.  </w:t>
      </w:r>
      <w:r w:rsidR="00BC4D8D">
        <w:rPr>
          <w:rFonts w:eastAsia="Times New Roman" w:cs="Times New Roman"/>
          <w:color w:val="000000"/>
          <w:sz w:val="22"/>
          <w:lang w:eastAsia="en-CA"/>
        </w:rPr>
        <w:t>An example</w:t>
      </w:r>
      <w:r w:rsidR="00484D7B" w:rsidRPr="00166EC9">
        <w:rPr>
          <w:rFonts w:eastAsia="Times New Roman" w:cs="Times New Roman"/>
          <w:color w:val="000000"/>
          <w:sz w:val="22"/>
          <w:lang w:eastAsia="en-CA"/>
        </w:rPr>
        <w:t xml:space="preserve"> is Suncor’s ‘business incubator’ which provides business development loans to start-up aboriginal companies such as Chip Manufacturing and </w:t>
      </w:r>
      <w:proofErr w:type="spellStart"/>
      <w:r w:rsidR="00484D7B" w:rsidRPr="00166EC9">
        <w:rPr>
          <w:rFonts w:eastAsia="Times New Roman" w:cs="Times New Roman"/>
          <w:color w:val="000000"/>
          <w:sz w:val="22"/>
          <w:lang w:eastAsia="en-CA"/>
        </w:rPr>
        <w:t>Mikisew</w:t>
      </w:r>
      <w:proofErr w:type="spellEnd"/>
      <w:r w:rsidR="00484D7B" w:rsidRPr="00166EC9">
        <w:rPr>
          <w:rFonts w:eastAsia="Times New Roman" w:cs="Times New Roman"/>
          <w:color w:val="000000"/>
          <w:sz w:val="22"/>
          <w:lang w:eastAsia="en-CA"/>
        </w:rPr>
        <w:t xml:space="preserve"> Industrial Supply.  These two companies contribute to the upwards of $1 billion total spending on goods from Aboriginal companies Suncor is responsible for</w:t>
      </w:r>
      <w:r w:rsidR="00484D7B" w:rsidRPr="00166EC9">
        <w:rPr>
          <w:rStyle w:val="FootnoteReference"/>
          <w:rFonts w:eastAsia="Times New Roman" w:cs="Times New Roman"/>
          <w:color w:val="000000"/>
          <w:sz w:val="22"/>
          <w:lang w:eastAsia="en-CA"/>
        </w:rPr>
        <w:footnoteReference w:id="3"/>
      </w:r>
      <w:r w:rsidR="00484D7B" w:rsidRPr="00166EC9">
        <w:rPr>
          <w:rFonts w:eastAsia="Times New Roman" w:cs="Times New Roman"/>
          <w:color w:val="000000"/>
          <w:sz w:val="22"/>
          <w:lang w:eastAsia="en-CA"/>
        </w:rPr>
        <w:t>.  Additionally Suncor is active in supporting positive c</w:t>
      </w:r>
      <w:r w:rsidR="00DD60DF" w:rsidRPr="00166EC9">
        <w:rPr>
          <w:rFonts w:eastAsia="Times New Roman" w:cs="Times New Roman"/>
          <w:color w:val="000000"/>
          <w:sz w:val="22"/>
          <w:lang w:eastAsia="en-CA"/>
        </w:rPr>
        <w:t>hange in communities surrounding the oil sands</w:t>
      </w:r>
      <w:r w:rsidR="004A77C8">
        <w:rPr>
          <w:rFonts w:eastAsia="Times New Roman" w:cs="Times New Roman"/>
          <w:color w:val="000000"/>
          <w:sz w:val="22"/>
          <w:lang w:eastAsia="en-CA"/>
        </w:rPr>
        <w:t xml:space="preserve"> through</w:t>
      </w:r>
      <w:r w:rsidR="00484D7B" w:rsidRPr="00166EC9">
        <w:rPr>
          <w:rFonts w:eastAsia="Times New Roman" w:cs="Times New Roman"/>
          <w:color w:val="000000"/>
          <w:sz w:val="22"/>
          <w:lang w:eastAsia="en-CA"/>
        </w:rPr>
        <w:t xml:space="preserve"> development initiatives such as Social Prosperity Wood Bu</w:t>
      </w:r>
      <w:r w:rsidR="00196706" w:rsidRPr="00166EC9">
        <w:rPr>
          <w:rFonts w:eastAsia="Times New Roman" w:cs="Times New Roman"/>
          <w:color w:val="000000"/>
          <w:sz w:val="22"/>
          <w:lang w:eastAsia="en-CA"/>
        </w:rPr>
        <w:t>ffalo and Envision Wood Buffalo</w:t>
      </w:r>
      <w:r w:rsidR="00032138" w:rsidRPr="00166EC9">
        <w:rPr>
          <w:rFonts w:eastAsia="Times New Roman" w:cs="Times New Roman"/>
          <w:color w:val="000000"/>
          <w:sz w:val="22"/>
          <w:lang w:eastAsia="en-CA"/>
        </w:rPr>
        <w:t>.</w:t>
      </w:r>
      <w:r w:rsidR="00484D7B" w:rsidRPr="00166EC9">
        <w:rPr>
          <w:rFonts w:eastAsia="Times New Roman" w:cs="Times New Roman"/>
          <w:color w:val="000000"/>
          <w:sz w:val="22"/>
          <w:lang w:eastAsia="en-CA"/>
        </w:rPr>
        <w:t xml:space="preserve"> </w:t>
      </w:r>
      <w:r w:rsidR="00032138" w:rsidRPr="00166EC9">
        <w:rPr>
          <w:rFonts w:eastAsia="Times New Roman" w:cs="Times New Roman"/>
          <w:color w:val="000000"/>
          <w:sz w:val="22"/>
          <w:lang w:eastAsia="en-CA"/>
        </w:rPr>
        <w:t xml:space="preserve"> </w:t>
      </w:r>
      <w:r w:rsidR="003B34D0" w:rsidRPr="00166EC9">
        <w:rPr>
          <w:rFonts w:eastAsia="Times New Roman" w:cs="Times New Roman"/>
          <w:color w:val="000000"/>
          <w:sz w:val="22"/>
          <w:lang w:eastAsia="en-CA"/>
        </w:rPr>
        <w:t>These initiatives have allowed</w:t>
      </w:r>
      <w:r w:rsidR="00484D7B" w:rsidRPr="00166EC9">
        <w:rPr>
          <w:rFonts w:eastAsia="Times New Roman" w:cs="Times New Roman"/>
          <w:color w:val="000000"/>
          <w:sz w:val="22"/>
          <w:lang w:eastAsia="en-CA"/>
        </w:rPr>
        <w:t xml:space="preserve"> </w:t>
      </w:r>
      <w:r w:rsidR="003B34D0" w:rsidRPr="00166EC9">
        <w:rPr>
          <w:rFonts w:eastAsia="Times New Roman" w:cs="Times New Roman"/>
          <w:color w:val="000000"/>
          <w:sz w:val="22"/>
          <w:lang w:eastAsia="en-CA"/>
        </w:rPr>
        <w:t>for the citizenry of</w:t>
      </w:r>
      <w:r w:rsidR="00484D7B" w:rsidRPr="00166EC9">
        <w:rPr>
          <w:rFonts w:eastAsia="Times New Roman" w:cs="Times New Roman"/>
          <w:color w:val="000000"/>
          <w:sz w:val="22"/>
          <w:lang w:eastAsia="en-CA"/>
        </w:rPr>
        <w:t xml:space="preserve"> the Regional Municipality of Wood Buffalo </w:t>
      </w:r>
      <w:r w:rsidR="00D83424" w:rsidRPr="00166EC9">
        <w:rPr>
          <w:rFonts w:eastAsia="Times New Roman" w:cs="Times New Roman"/>
          <w:color w:val="000000"/>
          <w:sz w:val="22"/>
          <w:lang w:eastAsia="en-CA"/>
        </w:rPr>
        <w:t xml:space="preserve">to actively partake </w:t>
      </w:r>
      <w:r w:rsidR="00484D7B" w:rsidRPr="00166EC9">
        <w:rPr>
          <w:rFonts w:eastAsia="Times New Roman" w:cs="Times New Roman"/>
          <w:color w:val="000000"/>
          <w:sz w:val="22"/>
          <w:lang w:eastAsia="en-CA"/>
        </w:rPr>
        <w:t>in the decision-making process for</w:t>
      </w:r>
      <w:r w:rsidR="004A77C8">
        <w:rPr>
          <w:rFonts w:eastAsia="Times New Roman" w:cs="Times New Roman"/>
          <w:color w:val="000000"/>
          <w:sz w:val="22"/>
          <w:lang w:eastAsia="en-CA"/>
        </w:rPr>
        <w:t xml:space="preserve"> managing the regions rapid oil-</w:t>
      </w:r>
      <w:r w:rsidR="00484D7B" w:rsidRPr="00166EC9">
        <w:rPr>
          <w:rFonts w:eastAsia="Times New Roman" w:cs="Times New Roman"/>
          <w:color w:val="000000"/>
          <w:sz w:val="22"/>
          <w:lang w:eastAsia="en-CA"/>
        </w:rPr>
        <w:t>sand-fueled growth</w:t>
      </w:r>
      <w:r w:rsidR="0050381A">
        <w:rPr>
          <w:rFonts w:eastAsia="Times New Roman" w:cs="Times New Roman"/>
          <w:color w:val="000000"/>
          <w:sz w:val="22"/>
          <w:lang w:eastAsia="en-CA"/>
        </w:rPr>
        <w:t xml:space="preserve"> ensuring their needs are met</w:t>
      </w:r>
      <w:r w:rsidR="00484D7B" w:rsidRPr="00166EC9">
        <w:rPr>
          <w:rFonts w:eastAsia="Times New Roman" w:cs="Times New Roman"/>
          <w:color w:val="000000"/>
          <w:sz w:val="22"/>
          <w:lang w:eastAsia="en-CA"/>
        </w:rPr>
        <w:t>.</w:t>
      </w:r>
    </w:p>
    <w:p w:rsidR="00671B9B" w:rsidRPr="00166EC9" w:rsidRDefault="00671B9B" w:rsidP="00E80231">
      <w:pPr>
        <w:spacing w:line="480" w:lineRule="auto"/>
        <w:ind w:firstLine="720"/>
        <w:jc w:val="both"/>
        <w:rPr>
          <w:rFonts w:cs="Times New Roman"/>
          <w:color w:val="000000"/>
          <w:sz w:val="22"/>
        </w:rPr>
      </w:pPr>
      <w:r w:rsidRPr="00166EC9">
        <w:rPr>
          <w:rFonts w:cs="Times New Roman"/>
          <w:color w:val="000000"/>
          <w:sz w:val="22"/>
        </w:rPr>
        <w:lastRenderedPageBreak/>
        <w:t xml:space="preserve">Suncor </w:t>
      </w:r>
      <w:r w:rsidR="008820AD" w:rsidRPr="00166EC9">
        <w:rPr>
          <w:rFonts w:cs="Times New Roman"/>
          <w:color w:val="000000"/>
          <w:sz w:val="22"/>
        </w:rPr>
        <w:t xml:space="preserve">also </w:t>
      </w:r>
      <w:r w:rsidRPr="00166EC9">
        <w:rPr>
          <w:rFonts w:cs="Times New Roman"/>
          <w:color w:val="000000"/>
          <w:sz w:val="22"/>
        </w:rPr>
        <w:t>takes a proactive approach when examining environmental issues both regionally and internationally. Suncor is committed to upholding the highest degree of environmental standards, while incorporating new rese</w:t>
      </w:r>
      <w:r w:rsidR="0034492E">
        <w:rPr>
          <w:rFonts w:cs="Times New Roman"/>
          <w:color w:val="000000"/>
          <w:sz w:val="22"/>
        </w:rPr>
        <w:t>arch and innovation,</w:t>
      </w:r>
      <w:r w:rsidRPr="00166EC9">
        <w:rPr>
          <w:rFonts w:cs="Times New Roman"/>
          <w:color w:val="000000"/>
          <w:sz w:val="22"/>
        </w:rPr>
        <w:t xml:space="preserve"> remaining on the forefront of environmentally conscience technological development.</w:t>
      </w:r>
    </w:p>
    <w:p w:rsidR="006247C2" w:rsidRDefault="00671B9B" w:rsidP="00E80231">
      <w:pPr>
        <w:spacing w:line="480" w:lineRule="auto"/>
        <w:ind w:firstLine="720"/>
        <w:jc w:val="both"/>
        <w:rPr>
          <w:rFonts w:cs="Times New Roman"/>
          <w:color w:val="000000"/>
          <w:sz w:val="22"/>
        </w:rPr>
      </w:pPr>
      <w:r w:rsidRPr="00166EC9">
        <w:rPr>
          <w:rFonts w:cs="Times New Roman"/>
          <w:color w:val="000000"/>
          <w:sz w:val="22"/>
        </w:rPr>
        <w:t>Suncor has achieved a complete reclamation of their oldest tailings pond, and continues to make vast improvements in tailing ponds and land reclamation procedures. As a result of the investment in TROTM technology, 7% of tota</w:t>
      </w:r>
      <w:r w:rsidR="00BB4230">
        <w:rPr>
          <w:rFonts w:cs="Times New Roman"/>
          <w:color w:val="000000"/>
          <w:sz w:val="22"/>
        </w:rPr>
        <w:t>l land area, or approximately 1</w:t>
      </w:r>
      <w:r w:rsidRPr="00166EC9">
        <w:rPr>
          <w:rFonts w:cs="Times New Roman"/>
          <w:color w:val="000000"/>
          <w:sz w:val="22"/>
        </w:rPr>
        <w:t>300 ha, used for oil development has been reclaimed over the last 2 years, and is expected to reduce total land area covered by ponds by 80% in the years ahead</w:t>
      </w:r>
      <w:r w:rsidR="004E4833" w:rsidRPr="00166EC9">
        <w:rPr>
          <w:rStyle w:val="FootnoteReference"/>
          <w:rFonts w:cs="Times New Roman"/>
          <w:color w:val="000000"/>
          <w:sz w:val="22"/>
        </w:rPr>
        <w:footnoteReference w:id="4"/>
      </w:r>
      <w:r w:rsidRPr="00166EC9">
        <w:rPr>
          <w:rFonts w:cs="Times New Roman"/>
          <w:color w:val="000000"/>
          <w:sz w:val="22"/>
        </w:rPr>
        <w:t xml:space="preserve">. </w:t>
      </w:r>
      <w:r w:rsidR="00E45D62">
        <w:rPr>
          <w:rFonts w:cs="Times New Roman"/>
          <w:color w:val="000000"/>
          <w:sz w:val="22"/>
        </w:rPr>
        <w:t xml:space="preserve"> </w:t>
      </w:r>
      <w:r w:rsidR="00960B55">
        <w:rPr>
          <w:rFonts w:cs="Times New Roman"/>
          <w:color w:val="000000"/>
          <w:sz w:val="22"/>
        </w:rPr>
        <w:t>In addition</w:t>
      </w:r>
      <w:r w:rsidRPr="00166EC9">
        <w:rPr>
          <w:rFonts w:cs="Times New Roman"/>
          <w:color w:val="000000"/>
          <w:sz w:val="22"/>
        </w:rPr>
        <w:t>, 75% of the water consumed in surface mining, and 90% of water consumed in in-situ operations, is recycled</w:t>
      </w:r>
      <w:r w:rsidR="0085682C" w:rsidRPr="00166EC9">
        <w:rPr>
          <w:rStyle w:val="FootnoteReference"/>
          <w:rFonts w:cs="Times New Roman"/>
          <w:color w:val="000000"/>
          <w:sz w:val="22"/>
        </w:rPr>
        <w:footnoteReference w:id="5"/>
      </w:r>
      <w:r w:rsidRPr="00166EC9">
        <w:rPr>
          <w:rFonts w:cs="Times New Roman"/>
          <w:color w:val="000000"/>
          <w:sz w:val="22"/>
        </w:rPr>
        <w:t xml:space="preserve">. </w:t>
      </w:r>
    </w:p>
    <w:p w:rsidR="00BD2B3D" w:rsidRPr="00166EC9" w:rsidRDefault="00671B9B" w:rsidP="00E80231">
      <w:pPr>
        <w:spacing w:line="480" w:lineRule="auto"/>
        <w:ind w:firstLine="720"/>
        <w:jc w:val="both"/>
        <w:rPr>
          <w:rFonts w:eastAsia="Times New Roman" w:cs="Times New Roman"/>
          <w:color w:val="000000"/>
          <w:sz w:val="22"/>
          <w:lang w:eastAsia="en-CA"/>
        </w:rPr>
      </w:pPr>
      <w:r w:rsidRPr="00166EC9">
        <w:rPr>
          <w:rFonts w:cs="Times New Roman"/>
          <w:color w:val="000000"/>
          <w:sz w:val="22"/>
        </w:rPr>
        <w:t>In exemplifying further commitments to environmental stewardship, water withdrawals from the Athabasca River have been reduced by 36%, which is below 1998 levels, although bitumen production has tripled</w:t>
      </w:r>
      <w:r w:rsidR="00491A69">
        <w:rPr>
          <w:rStyle w:val="FootnoteReference"/>
          <w:rFonts w:cs="Times New Roman"/>
          <w:color w:val="000000"/>
          <w:sz w:val="22"/>
        </w:rPr>
        <w:footnoteReference w:id="6"/>
      </w:r>
      <w:r w:rsidRPr="00166EC9">
        <w:rPr>
          <w:rFonts w:cs="Times New Roman"/>
          <w:color w:val="000000"/>
          <w:sz w:val="22"/>
        </w:rPr>
        <w:t xml:space="preserve">. In terms of greenhouse </w:t>
      </w:r>
      <w:r w:rsidR="002F391E" w:rsidRPr="00166EC9">
        <w:rPr>
          <w:rFonts w:cs="Times New Roman"/>
          <w:color w:val="000000"/>
          <w:sz w:val="22"/>
        </w:rPr>
        <w:t>gas</w:t>
      </w:r>
      <w:r w:rsidRPr="00166EC9">
        <w:rPr>
          <w:rFonts w:cs="Times New Roman"/>
          <w:color w:val="000000"/>
          <w:sz w:val="22"/>
        </w:rPr>
        <w:t xml:space="preserve"> emissions, Suncor has reduced emissions intensity by 50% as compared to 1990 levels. Furthermore, Suncor is working towards a reduction of 10% by 2015 of total emissions, as compared to 2007, which is inclusive of dangerous compounds such as nitrous oxide.</w:t>
      </w:r>
      <w:r w:rsidR="00491A69">
        <w:rPr>
          <w:rStyle w:val="FootnoteReference"/>
          <w:rFonts w:cs="Times New Roman"/>
          <w:color w:val="000000"/>
          <w:sz w:val="22"/>
        </w:rPr>
        <w:footnoteReference w:id="7"/>
      </w:r>
    </w:p>
    <w:p w:rsidR="001276FA" w:rsidRDefault="001276FA" w:rsidP="00E80231">
      <w:pPr>
        <w:spacing w:line="480" w:lineRule="auto"/>
        <w:jc w:val="both"/>
        <w:rPr>
          <w:rFonts w:eastAsia="Times New Roman" w:cs="Times New Roman"/>
          <w:b/>
          <w:color w:val="000000"/>
          <w:sz w:val="22"/>
          <w:u w:val="single"/>
          <w:lang w:eastAsia="en-CA"/>
        </w:rPr>
      </w:pPr>
    </w:p>
    <w:p w:rsidR="006247C2" w:rsidRDefault="006247C2" w:rsidP="00E80231">
      <w:pPr>
        <w:spacing w:line="480" w:lineRule="auto"/>
        <w:jc w:val="both"/>
        <w:rPr>
          <w:rFonts w:eastAsia="Times New Roman" w:cs="Times New Roman"/>
          <w:b/>
          <w:color w:val="000000"/>
          <w:sz w:val="22"/>
          <w:u w:val="single"/>
          <w:lang w:eastAsia="en-CA"/>
        </w:rPr>
      </w:pPr>
    </w:p>
    <w:p w:rsidR="00BD2B3D" w:rsidRPr="00E732FD" w:rsidRDefault="00361537" w:rsidP="00E80231">
      <w:pPr>
        <w:spacing w:line="480" w:lineRule="auto"/>
        <w:ind w:firstLine="720"/>
        <w:jc w:val="both"/>
        <w:rPr>
          <w:rFonts w:eastAsia="Times New Roman" w:cs="Times New Roman"/>
          <w:b/>
          <w:color w:val="000000"/>
          <w:sz w:val="24"/>
          <w:szCs w:val="24"/>
          <w:lang w:eastAsia="en-CA"/>
        </w:rPr>
      </w:pPr>
      <w:r w:rsidRPr="00E732FD">
        <w:rPr>
          <w:rFonts w:eastAsia="Times New Roman" w:cs="Times New Roman"/>
          <w:b/>
          <w:color w:val="000000"/>
          <w:sz w:val="24"/>
          <w:szCs w:val="24"/>
          <w:lang w:eastAsia="en-CA"/>
        </w:rPr>
        <w:lastRenderedPageBreak/>
        <w:t>ii.</w:t>
      </w:r>
      <w:r w:rsidRPr="00E732FD">
        <w:rPr>
          <w:rFonts w:eastAsia="Times New Roman" w:cs="Times New Roman"/>
          <w:b/>
          <w:color w:val="000000"/>
          <w:sz w:val="24"/>
          <w:szCs w:val="24"/>
          <w:lang w:eastAsia="en-CA"/>
        </w:rPr>
        <w:tab/>
      </w:r>
      <w:r w:rsidR="002823C4" w:rsidRPr="00E732FD">
        <w:rPr>
          <w:rFonts w:eastAsia="Times New Roman" w:cs="Times New Roman"/>
          <w:b/>
          <w:color w:val="000000"/>
          <w:sz w:val="24"/>
          <w:szCs w:val="24"/>
          <w:lang w:eastAsia="en-CA"/>
        </w:rPr>
        <w:t>Policy Problem</w:t>
      </w:r>
    </w:p>
    <w:p w:rsidR="00BD2B3D" w:rsidRPr="00166EC9" w:rsidRDefault="00BD2B3D" w:rsidP="00E80231">
      <w:pPr>
        <w:spacing w:line="480" w:lineRule="auto"/>
        <w:ind w:firstLine="720"/>
        <w:jc w:val="both"/>
        <w:rPr>
          <w:rFonts w:cs="Times New Roman"/>
          <w:color w:val="000000"/>
          <w:sz w:val="22"/>
        </w:rPr>
      </w:pPr>
      <w:r w:rsidRPr="00166EC9">
        <w:rPr>
          <w:rFonts w:cs="Times New Roman"/>
          <w:color w:val="000000"/>
          <w:sz w:val="22"/>
        </w:rPr>
        <w:t>Should the proposal for Northern Gateway Pipeline be rejected, it would present several obstacles to Suncor as a company, an</w:t>
      </w:r>
      <w:r w:rsidR="00A43EA1">
        <w:rPr>
          <w:rFonts w:cs="Times New Roman"/>
          <w:color w:val="000000"/>
          <w:sz w:val="22"/>
        </w:rPr>
        <w:t>d Canada as a whole.  S</w:t>
      </w:r>
      <w:r w:rsidRPr="00166EC9">
        <w:rPr>
          <w:rFonts w:cs="Times New Roman"/>
          <w:color w:val="000000"/>
          <w:sz w:val="22"/>
        </w:rPr>
        <w:t>uch a proposal would restrict de</w:t>
      </w:r>
      <w:r w:rsidR="00E05C15">
        <w:rPr>
          <w:rFonts w:cs="Times New Roman"/>
          <w:color w:val="000000"/>
          <w:sz w:val="22"/>
        </w:rPr>
        <w:t>velopment of Canadian oil sands;</w:t>
      </w:r>
      <w:r w:rsidRPr="00166EC9">
        <w:rPr>
          <w:rFonts w:cs="Times New Roman"/>
          <w:color w:val="000000"/>
          <w:sz w:val="22"/>
        </w:rPr>
        <w:t> Canada has been endowed with an abundance of oil, especially in Alberta</w:t>
      </w:r>
      <w:r w:rsidR="00F25297">
        <w:rPr>
          <w:rFonts w:cs="Times New Roman"/>
          <w:color w:val="000000"/>
          <w:sz w:val="22"/>
        </w:rPr>
        <w:t>, and to not utilize it</w:t>
      </w:r>
      <w:r w:rsidRPr="00166EC9">
        <w:rPr>
          <w:rFonts w:cs="Times New Roman"/>
          <w:color w:val="000000"/>
          <w:sz w:val="22"/>
        </w:rPr>
        <w:t xml:space="preserve"> would deprive Canada and</w:t>
      </w:r>
      <w:r w:rsidR="00A43EA1">
        <w:rPr>
          <w:rFonts w:cs="Times New Roman"/>
          <w:color w:val="000000"/>
          <w:sz w:val="22"/>
        </w:rPr>
        <w:t xml:space="preserve"> Suncor of</w:t>
      </w:r>
      <w:r w:rsidRPr="00166EC9">
        <w:rPr>
          <w:rFonts w:cs="Times New Roman"/>
          <w:color w:val="000000"/>
          <w:sz w:val="22"/>
        </w:rPr>
        <w:t xml:space="preserve"> financial benefits.  This would consequently inhibit Suncor’s ability to contribute to social programs and build sustainable communities.  Moreover, Canada would not be able to diversify oil markets and thus be forced to rely more heavily on US markets for energy demands.  Currently Canada is only able to export 10,000 barrels a day to markets in China, against China’s projected demand of 11 million barrels a day by 2020</w:t>
      </w:r>
      <w:r w:rsidR="00C866F1" w:rsidRPr="00166EC9">
        <w:rPr>
          <w:rStyle w:val="FootnoteReference"/>
          <w:rFonts w:cs="Times New Roman"/>
          <w:color w:val="000000"/>
          <w:sz w:val="22"/>
        </w:rPr>
        <w:footnoteReference w:id="8"/>
      </w:r>
      <w:r w:rsidRPr="00166EC9">
        <w:rPr>
          <w:rFonts w:cs="Times New Roman"/>
          <w:color w:val="000000"/>
          <w:sz w:val="22"/>
        </w:rPr>
        <w:t>. Failure to take advantage of this market could put Canada at a disadvantage globally</w:t>
      </w:r>
      <w:r w:rsidR="00F760A9" w:rsidRPr="00166EC9">
        <w:rPr>
          <w:rFonts w:cs="Times New Roman"/>
          <w:color w:val="000000"/>
          <w:sz w:val="22"/>
        </w:rPr>
        <w:t xml:space="preserve"> and </w:t>
      </w:r>
      <w:r w:rsidR="00B14DEE" w:rsidRPr="00166EC9">
        <w:rPr>
          <w:rFonts w:cs="Times New Roman"/>
          <w:color w:val="000000"/>
          <w:sz w:val="22"/>
        </w:rPr>
        <w:t>deprives the international community</w:t>
      </w:r>
      <w:r w:rsidR="00CA13CC" w:rsidRPr="00166EC9">
        <w:rPr>
          <w:rFonts w:cs="Times New Roman"/>
          <w:color w:val="000000"/>
          <w:sz w:val="22"/>
        </w:rPr>
        <w:t xml:space="preserve"> of a </w:t>
      </w:r>
      <w:r w:rsidR="00131D5B" w:rsidRPr="00166EC9">
        <w:rPr>
          <w:rFonts w:cs="Times New Roman"/>
          <w:color w:val="000000"/>
          <w:sz w:val="22"/>
        </w:rPr>
        <w:t>reliable</w:t>
      </w:r>
      <w:r w:rsidR="00CA13CC" w:rsidRPr="00166EC9">
        <w:rPr>
          <w:rFonts w:cs="Times New Roman"/>
          <w:color w:val="000000"/>
          <w:sz w:val="22"/>
        </w:rPr>
        <w:t xml:space="preserve"> </w:t>
      </w:r>
      <w:r w:rsidR="00D17F5D" w:rsidRPr="00166EC9">
        <w:rPr>
          <w:rFonts w:cs="Times New Roman"/>
          <w:color w:val="000000"/>
          <w:sz w:val="22"/>
        </w:rPr>
        <w:t>source of ethically produced petroleum products</w:t>
      </w:r>
      <w:r w:rsidRPr="00166EC9">
        <w:rPr>
          <w:rFonts w:cs="Times New Roman"/>
          <w:color w:val="000000"/>
          <w:sz w:val="22"/>
        </w:rPr>
        <w:t>.</w:t>
      </w:r>
    </w:p>
    <w:p w:rsidR="00BD2B3D" w:rsidRDefault="00BD2B3D" w:rsidP="00E80231">
      <w:pPr>
        <w:spacing w:line="480" w:lineRule="auto"/>
        <w:jc w:val="both"/>
        <w:rPr>
          <w:rFonts w:eastAsia="Times New Roman" w:cs="Times New Roman"/>
          <w:b/>
          <w:sz w:val="22"/>
          <w:u w:val="single"/>
          <w:lang w:eastAsia="en-CA"/>
        </w:rPr>
      </w:pPr>
    </w:p>
    <w:p w:rsidR="0050353A" w:rsidRDefault="0050353A" w:rsidP="00E80231">
      <w:pPr>
        <w:spacing w:line="480" w:lineRule="auto"/>
        <w:jc w:val="both"/>
        <w:rPr>
          <w:rFonts w:eastAsia="Times New Roman" w:cs="Times New Roman"/>
          <w:b/>
          <w:sz w:val="22"/>
          <w:u w:val="single"/>
          <w:lang w:eastAsia="en-CA"/>
        </w:rPr>
      </w:pPr>
    </w:p>
    <w:p w:rsidR="0050353A" w:rsidRDefault="0050353A" w:rsidP="00E80231">
      <w:pPr>
        <w:spacing w:line="480" w:lineRule="auto"/>
        <w:jc w:val="both"/>
        <w:rPr>
          <w:rFonts w:eastAsia="Times New Roman" w:cs="Times New Roman"/>
          <w:b/>
          <w:sz w:val="22"/>
          <w:u w:val="single"/>
          <w:lang w:eastAsia="en-CA"/>
        </w:rPr>
      </w:pPr>
    </w:p>
    <w:p w:rsidR="0050353A" w:rsidRDefault="0050353A" w:rsidP="00E80231">
      <w:pPr>
        <w:spacing w:line="480" w:lineRule="auto"/>
        <w:jc w:val="both"/>
        <w:rPr>
          <w:rFonts w:eastAsia="Times New Roman" w:cs="Times New Roman"/>
          <w:b/>
          <w:sz w:val="22"/>
          <w:u w:val="single"/>
          <w:lang w:eastAsia="en-CA"/>
        </w:rPr>
      </w:pPr>
    </w:p>
    <w:p w:rsidR="0050353A" w:rsidRDefault="0050353A" w:rsidP="00E80231">
      <w:pPr>
        <w:spacing w:line="480" w:lineRule="auto"/>
        <w:jc w:val="both"/>
        <w:rPr>
          <w:rFonts w:eastAsia="Times New Roman" w:cs="Times New Roman"/>
          <w:b/>
          <w:sz w:val="22"/>
          <w:u w:val="single"/>
          <w:lang w:eastAsia="en-CA"/>
        </w:rPr>
      </w:pPr>
    </w:p>
    <w:p w:rsidR="0050353A" w:rsidRDefault="0050353A" w:rsidP="00E80231">
      <w:pPr>
        <w:spacing w:line="480" w:lineRule="auto"/>
        <w:jc w:val="both"/>
        <w:rPr>
          <w:rFonts w:eastAsia="Times New Roman" w:cs="Times New Roman"/>
          <w:b/>
          <w:sz w:val="22"/>
          <w:u w:val="single"/>
          <w:lang w:eastAsia="en-CA"/>
        </w:rPr>
      </w:pPr>
    </w:p>
    <w:p w:rsidR="00B61790" w:rsidRPr="00166EC9" w:rsidRDefault="00B61790" w:rsidP="00E80231">
      <w:pPr>
        <w:spacing w:line="480" w:lineRule="auto"/>
        <w:jc w:val="both"/>
        <w:rPr>
          <w:rFonts w:eastAsia="Times New Roman" w:cs="Times New Roman"/>
          <w:b/>
          <w:sz w:val="22"/>
          <w:u w:val="single"/>
          <w:lang w:eastAsia="en-CA"/>
        </w:rPr>
      </w:pPr>
    </w:p>
    <w:p w:rsidR="00857F65" w:rsidRPr="00166EC9" w:rsidRDefault="00897663" w:rsidP="00D550A4">
      <w:pPr>
        <w:spacing w:line="480" w:lineRule="auto"/>
        <w:rPr>
          <w:rFonts w:eastAsia="Times New Roman" w:cs="Times New Roman"/>
          <w:sz w:val="22"/>
          <w:lang w:eastAsia="en-CA"/>
        </w:rPr>
      </w:pPr>
      <w:r w:rsidRPr="00897663">
        <w:rPr>
          <w:rFonts w:eastAsia="Times New Roman" w:cs="Times New Roman"/>
          <w:b/>
          <w:bCs/>
          <w:color w:val="000000"/>
          <w:sz w:val="28"/>
          <w:szCs w:val="28"/>
          <w:lang w:eastAsia="en-CA"/>
        </w:rPr>
        <w:lastRenderedPageBreak/>
        <w:t>III.</w:t>
      </w:r>
      <w:r w:rsidRPr="00897663">
        <w:rPr>
          <w:rFonts w:eastAsia="Times New Roman" w:cs="Times New Roman"/>
          <w:b/>
          <w:bCs/>
          <w:color w:val="000000"/>
          <w:sz w:val="28"/>
          <w:szCs w:val="28"/>
          <w:lang w:eastAsia="en-CA"/>
        </w:rPr>
        <w:tab/>
      </w:r>
      <w:r w:rsidR="00D550A4">
        <w:rPr>
          <w:rFonts w:eastAsia="Times New Roman" w:cs="Times New Roman"/>
          <w:b/>
          <w:bCs/>
          <w:color w:val="000000"/>
          <w:sz w:val="28"/>
          <w:szCs w:val="28"/>
          <w:lang w:eastAsia="en-CA"/>
        </w:rPr>
        <w:t xml:space="preserve">Evaluative </w:t>
      </w:r>
      <w:r w:rsidR="00857F65" w:rsidRPr="00897663">
        <w:rPr>
          <w:rFonts w:eastAsia="Times New Roman" w:cs="Times New Roman"/>
          <w:b/>
          <w:bCs/>
          <w:color w:val="000000"/>
          <w:sz w:val="28"/>
          <w:szCs w:val="28"/>
          <w:lang w:eastAsia="en-CA"/>
        </w:rPr>
        <w:t>Criteria</w:t>
      </w:r>
      <w:r w:rsidR="00857F65" w:rsidRPr="00166EC9">
        <w:rPr>
          <w:rFonts w:eastAsia="Times New Roman" w:cs="Times New Roman"/>
          <w:sz w:val="22"/>
          <w:lang w:eastAsia="en-CA"/>
        </w:rPr>
        <w:br/>
      </w:r>
      <w:r w:rsidR="00857F65" w:rsidRPr="00166EC9">
        <w:rPr>
          <w:rFonts w:eastAsia="Times New Roman" w:cs="Times New Roman"/>
          <w:color w:val="000000"/>
          <w:sz w:val="22"/>
          <w:lang w:eastAsia="en-CA"/>
        </w:rPr>
        <w:t>         When considering current energy policy developments it is imperative to take into account the national intere</w:t>
      </w:r>
      <w:r w:rsidR="001818CD">
        <w:rPr>
          <w:rFonts w:eastAsia="Times New Roman" w:cs="Times New Roman"/>
          <w:color w:val="000000"/>
          <w:sz w:val="22"/>
          <w:lang w:eastAsia="en-CA"/>
        </w:rPr>
        <w:t>sts of Canada and its</w:t>
      </w:r>
      <w:r w:rsidR="00857F65" w:rsidRPr="00166EC9">
        <w:rPr>
          <w:rFonts w:eastAsia="Times New Roman" w:cs="Times New Roman"/>
          <w:color w:val="000000"/>
          <w:sz w:val="22"/>
          <w:lang w:eastAsia="en-CA"/>
        </w:rPr>
        <w:t xml:space="preserve"> economic state.  With this in mind the integral factors </w:t>
      </w:r>
      <w:r w:rsidR="00565FB0">
        <w:rPr>
          <w:rFonts w:eastAsia="Times New Roman" w:cs="Times New Roman"/>
          <w:color w:val="000000"/>
          <w:sz w:val="22"/>
          <w:lang w:eastAsia="en-CA"/>
        </w:rPr>
        <w:t xml:space="preserve">for Suncor </w:t>
      </w:r>
      <w:r w:rsidR="00857F65" w:rsidRPr="00166EC9">
        <w:rPr>
          <w:rFonts w:eastAsia="Times New Roman" w:cs="Times New Roman"/>
          <w:color w:val="000000"/>
          <w:sz w:val="22"/>
          <w:lang w:eastAsia="en-CA"/>
        </w:rPr>
        <w:t>in evaluating energy development policies concerning the oil sands are:</w:t>
      </w:r>
    </w:p>
    <w:p w:rsidR="00857F65" w:rsidRPr="00166EC9" w:rsidRDefault="00857F65" w:rsidP="00D550A4">
      <w:pPr>
        <w:pStyle w:val="ListParagraph"/>
        <w:numPr>
          <w:ilvl w:val="0"/>
          <w:numId w:val="10"/>
        </w:numPr>
        <w:spacing w:line="480" w:lineRule="auto"/>
        <w:ind w:left="1701" w:hanging="567"/>
        <w:jc w:val="both"/>
        <w:rPr>
          <w:rFonts w:eastAsia="Times New Roman" w:cs="Times New Roman"/>
          <w:sz w:val="22"/>
          <w:lang w:eastAsia="en-CA"/>
        </w:rPr>
      </w:pPr>
      <w:r w:rsidRPr="00166EC9">
        <w:rPr>
          <w:rFonts w:eastAsia="Times New Roman" w:cs="Times New Roman"/>
          <w:color w:val="000000"/>
          <w:sz w:val="22"/>
          <w:lang w:eastAsia="en-CA"/>
        </w:rPr>
        <w:t>The generation of revenues for Canada’s leading integrated energy company, Suncor</w:t>
      </w:r>
    </w:p>
    <w:p w:rsidR="00857F65" w:rsidRPr="00166EC9" w:rsidRDefault="00857F65" w:rsidP="00E80231">
      <w:pPr>
        <w:pStyle w:val="ListParagraph"/>
        <w:numPr>
          <w:ilvl w:val="0"/>
          <w:numId w:val="10"/>
        </w:numPr>
        <w:spacing w:line="480" w:lineRule="auto"/>
        <w:ind w:left="1701" w:hanging="567"/>
        <w:jc w:val="both"/>
        <w:rPr>
          <w:rFonts w:eastAsia="Times New Roman" w:cs="Times New Roman"/>
          <w:sz w:val="22"/>
          <w:lang w:eastAsia="en-CA"/>
        </w:rPr>
      </w:pPr>
      <w:r w:rsidRPr="00166EC9">
        <w:rPr>
          <w:rFonts w:eastAsia="Times New Roman" w:cs="Times New Roman"/>
          <w:color w:val="000000"/>
          <w:sz w:val="22"/>
          <w:lang w:eastAsia="en-CA"/>
        </w:rPr>
        <w:t xml:space="preserve">The cultivation of economic growth within Canada to ensure a better standard </w:t>
      </w:r>
      <w:proofErr w:type="spellStart"/>
      <w:r w:rsidR="001818CD">
        <w:rPr>
          <w:rFonts w:eastAsia="Times New Roman" w:cs="Times New Roman"/>
          <w:color w:val="000000"/>
          <w:sz w:val="22"/>
          <w:lang w:eastAsia="en-CA"/>
        </w:rPr>
        <w:t>s</w:t>
      </w:r>
      <w:r w:rsidRPr="00166EC9">
        <w:rPr>
          <w:rFonts w:eastAsia="Times New Roman" w:cs="Times New Roman"/>
          <w:color w:val="000000"/>
          <w:sz w:val="22"/>
          <w:lang w:eastAsia="en-CA"/>
        </w:rPr>
        <w:t>of</w:t>
      </w:r>
      <w:proofErr w:type="spellEnd"/>
      <w:r w:rsidRPr="00166EC9">
        <w:rPr>
          <w:rFonts w:eastAsia="Times New Roman" w:cs="Times New Roman"/>
          <w:color w:val="000000"/>
          <w:sz w:val="22"/>
          <w:lang w:eastAsia="en-CA"/>
        </w:rPr>
        <w:t xml:space="preserve"> life for its citizens</w:t>
      </w:r>
    </w:p>
    <w:p w:rsidR="00857F65" w:rsidRPr="00166EC9" w:rsidRDefault="00857F65" w:rsidP="00E80231">
      <w:pPr>
        <w:pStyle w:val="ListParagraph"/>
        <w:numPr>
          <w:ilvl w:val="0"/>
          <w:numId w:val="10"/>
        </w:numPr>
        <w:spacing w:line="480" w:lineRule="auto"/>
        <w:ind w:left="1701" w:hanging="567"/>
        <w:jc w:val="both"/>
        <w:rPr>
          <w:rFonts w:eastAsia="Times New Roman" w:cs="Times New Roman"/>
          <w:sz w:val="22"/>
          <w:lang w:eastAsia="en-CA"/>
        </w:rPr>
      </w:pPr>
      <w:r w:rsidRPr="00166EC9">
        <w:rPr>
          <w:rFonts w:eastAsia="Times New Roman" w:cs="Times New Roman"/>
          <w:color w:val="000000"/>
          <w:sz w:val="22"/>
          <w:lang w:eastAsia="en-CA"/>
        </w:rPr>
        <w:t>Securing Canada’s international presence as a leading energy exporter by building global networks</w:t>
      </w:r>
    </w:p>
    <w:p w:rsidR="00857F65" w:rsidRPr="00166EC9" w:rsidRDefault="00857F65" w:rsidP="00E80231">
      <w:pPr>
        <w:pStyle w:val="ListParagraph"/>
        <w:numPr>
          <w:ilvl w:val="0"/>
          <w:numId w:val="10"/>
        </w:numPr>
        <w:spacing w:line="480" w:lineRule="auto"/>
        <w:ind w:left="1701" w:hanging="567"/>
        <w:jc w:val="both"/>
        <w:rPr>
          <w:rFonts w:eastAsia="Times New Roman" w:cs="Times New Roman"/>
          <w:sz w:val="22"/>
          <w:lang w:eastAsia="en-CA"/>
        </w:rPr>
      </w:pPr>
      <w:r w:rsidRPr="00166EC9">
        <w:rPr>
          <w:rFonts w:eastAsia="Times New Roman" w:cs="Times New Roman"/>
          <w:color w:val="000000"/>
          <w:sz w:val="22"/>
          <w:lang w:eastAsia="en-CA"/>
        </w:rPr>
        <w:t>Decreasing economic dependence upon the US</w:t>
      </w:r>
    </w:p>
    <w:p w:rsidR="007D0579" w:rsidRPr="00166EC9" w:rsidRDefault="00857F65" w:rsidP="00804063">
      <w:pPr>
        <w:spacing w:line="480" w:lineRule="auto"/>
        <w:rPr>
          <w:rFonts w:eastAsia="Times New Roman" w:cs="Times New Roman"/>
          <w:sz w:val="22"/>
          <w:lang w:eastAsia="en-CA"/>
        </w:rPr>
      </w:pPr>
      <w:r w:rsidRPr="00166EC9">
        <w:rPr>
          <w:rFonts w:eastAsia="Times New Roman" w:cs="Times New Roman"/>
          <w:sz w:val="22"/>
          <w:lang w:eastAsia="en-CA"/>
        </w:rPr>
        <w:br/>
      </w:r>
    </w:p>
    <w:p w:rsidR="0050353A" w:rsidRDefault="00857F65" w:rsidP="00804063">
      <w:pPr>
        <w:spacing w:line="480" w:lineRule="auto"/>
        <w:rPr>
          <w:rFonts w:eastAsia="Times New Roman" w:cs="Times New Roman"/>
          <w:b/>
          <w:bCs/>
          <w:color w:val="000000"/>
          <w:sz w:val="22"/>
          <w:u w:val="single"/>
          <w:lang w:eastAsia="en-CA"/>
        </w:rPr>
      </w:pPr>
      <w:r w:rsidRPr="00166EC9">
        <w:rPr>
          <w:rFonts w:eastAsia="Times New Roman" w:cs="Times New Roman"/>
          <w:sz w:val="22"/>
          <w:lang w:eastAsia="en-CA"/>
        </w:rPr>
        <w:br/>
      </w:r>
    </w:p>
    <w:p w:rsidR="0050353A" w:rsidRDefault="0050353A" w:rsidP="00804063">
      <w:pPr>
        <w:spacing w:line="480" w:lineRule="auto"/>
        <w:rPr>
          <w:rFonts w:eastAsia="Times New Roman" w:cs="Times New Roman"/>
          <w:b/>
          <w:bCs/>
          <w:color w:val="000000"/>
          <w:sz w:val="22"/>
          <w:u w:val="single"/>
          <w:lang w:eastAsia="en-CA"/>
        </w:rPr>
      </w:pPr>
    </w:p>
    <w:p w:rsidR="0050353A" w:rsidRDefault="0050353A" w:rsidP="00804063">
      <w:pPr>
        <w:spacing w:line="480" w:lineRule="auto"/>
        <w:rPr>
          <w:rFonts w:eastAsia="Times New Roman" w:cs="Times New Roman"/>
          <w:b/>
          <w:bCs/>
          <w:color w:val="000000"/>
          <w:sz w:val="22"/>
          <w:u w:val="single"/>
          <w:lang w:eastAsia="en-CA"/>
        </w:rPr>
      </w:pPr>
    </w:p>
    <w:p w:rsidR="0050353A" w:rsidRDefault="0050353A" w:rsidP="00804063">
      <w:pPr>
        <w:spacing w:line="480" w:lineRule="auto"/>
        <w:rPr>
          <w:rFonts w:eastAsia="Times New Roman" w:cs="Times New Roman"/>
          <w:b/>
          <w:bCs/>
          <w:color w:val="000000"/>
          <w:sz w:val="22"/>
          <w:u w:val="single"/>
          <w:lang w:eastAsia="en-CA"/>
        </w:rPr>
      </w:pPr>
    </w:p>
    <w:p w:rsidR="0050353A" w:rsidRDefault="0050353A" w:rsidP="00804063">
      <w:pPr>
        <w:spacing w:line="480" w:lineRule="auto"/>
        <w:rPr>
          <w:rFonts w:eastAsia="Times New Roman" w:cs="Times New Roman"/>
          <w:b/>
          <w:bCs/>
          <w:color w:val="000000"/>
          <w:sz w:val="22"/>
          <w:u w:val="single"/>
          <w:lang w:eastAsia="en-CA"/>
        </w:rPr>
      </w:pPr>
    </w:p>
    <w:p w:rsidR="0050353A" w:rsidRDefault="0050353A" w:rsidP="00804063">
      <w:pPr>
        <w:spacing w:line="480" w:lineRule="auto"/>
        <w:rPr>
          <w:rFonts w:eastAsia="Times New Roman" w:cs="Times New Roman"/>
          <w:b/>
          <w:bCs/>
          <w:color w:val="000000"/>
          <w:sz w:val="22"/>
          <w:u w:val="single"/>
          <w:lang w:eastAsia="en-CA"/>
        </w:rPr>
      </w:pPr>
    </w:p>
    <w:p w:rsidR="0050353A" w:rsidRDefault="0050353A" w:rsidP="00804063">
      <w:pPr>
        <w:spacing w:line="480" w:lineRule="auto"/>
        <w:rPr>
          <w:rFonts w:eastAsia="Times New Roman" w:cs="Times New Roman"/>
          <w:b/>
          <w:bCs/>
          <w:color w:val="000000"/>
          <w:sz w:val="22"/>
          <w:u w:val="single"/>
          <w:lang w:eastAsia="en-CA"/>
        </w:rPr>
      </w:pPr>
    </w:p>
    <w:p w:rsidR="00441F38" w:rsidRPr="000D34F5" w:rsidRDefault="000D34F5" w:rsidP="00804063">
      <w:pPr>
        <w:spacing w:line="480" w:lineRule="auto"/>
        <w:rPr>
          <w:rFonts w:eastAsia="Times New Roman" w:cs="Times New Roman"/>
          <w:b/>
          <w:sz w:val="28"/>
          <w:szCs w:val="28"/>
          <w:lang w:eastAsia="en-CA"/>
        </w:rPr>
      </w:pPr>
      <w:r w:rsidRPr="000D34F5">
        <w:rPr>
          <w:rFonts w:eastAsia="Times New Roman" w:cs="Times New Roman"/>
          <w:b/>
          <w:bCs/>
          <w:color w:val="000000"/>
          <w:sz w:val="28"/>
          <w:szCs w:val="28"/>
          <w:lang w:eastAsia="en-CA"/>
        </w:rPr>
        <w:lastRenderedPageBreak/>
        <w:t>IV.</w:t>
      </w:r>
      <w:r w:rsidRPr="000D34F5">
        <w:rPr>
          <w:rFonts w:eastAsia="Times New Roman" w:cs="Times New Roman"/>
          <w:b/>
          <w:bCs/>
          <w:color w:val="000000"/>
          <w:sz w:val="28"/>
          <w:szCs w:val="28"/>
          <w:lang w:eastAsia="en-CA"/>
        </w:rPr>
        <w:tab/>
      </w:r>
      <w:r w:rsidR="00857F65" w:rsidRPr="000D34F5">
        <w:rPr>
          <w:rFonts w:eastAsia="Times New Roman" w:cs="Times New Roman"/>
          <w:b/>
          <w:bCs/>
          <w:color w:val="000000"/>
          <w:sz w:val="28"/>
          <w:szCs w:val="28"/>
          <w:lang w:eastAsia="en-CA"/>
        </w:rPr>
        <w:t>Evaluation of Possible Outcomes</w:t>
      </w:r>
    </w:p>
    <w:tbl>
      <w:tblPr>
        <w:tblStyle w:val="MediumGrid3-Accent1"/>
        <w:tblW w:w="9457" w:type="dxa"/>
        <w:tblLayout w:type="fixed"/>
        <w:tblLook w:val="04A0"/>
      </w:tblPr>
      <w:tblGrid>
        <w:gridCol w:w="2660"/>
        <w:gridCol w:w="1900"/>
        <w:gridCol w:w="1581"/>
        <w:gridCol w:w="1622"/>
        <w:gridCol w:w="1694"/>
      </w:tblGrid>
      <w:tr w:rsidR="00E026CE" w:rsidRPr="00166EC9" w:rsidTr="00E026CE">
        <w:trPr>
          <w:cnfStyle w:val="100000000000"/>
          <w:trHeight w:val="725"/>
        </w:trPr>
        <w:tc>
          <w:tcPr>
            <w:cnfStyle w:val="001000000000"/>
            <w:tcW w:w="2660" w:type="dxa"/>
          </w:tcPr>
          <w:p w:rsidR="00E026CE" w:rsidRPr="00166EC9" w:rsidRDefault="00E026CE" w:rsidP="006378EE">
            <w:pPr>
              <w:spacing w:line="276" w:lineRule="auto"/>
              <w:rPr>
                <w:rFonts w:eastAsia="Times New Roman" w:cs="Times New Roman"/>
                <w:sz w:val="22"/>
                <w:u w:val="single"/>
                <w:lang w:eastAsia="en-CA"/>
              </w:rPr>
            </w:pPr>
            <w:r w:rsidRPr="00166EC9">
              <w:rPr>
                <w:rFonts w:eastAsia="Times New Roman" w:cs="Times New Roman"/>
                <w:sz w:val="22"/>
                <w:u w:val="single"/>
                <w:lang w:eastAsia="en-CA"/>
              </w:rPr>
              <w:t>Evaluative Criteria</w:t>
            </w:r>
          </w:p>
        </w:tc>
        <w:tc>
          <w:tcPr>
            <w:tcW w:w="1900" w:type="dxa"/>
          </w:tcPr>
          <w:p w:rsidR="00E026CE" w:rsidRPr="00166EC9" w:rsidRDefault="00E026CE" w:rsidP="00EA01BE">
            <w:pPr>
              <w:spacing w:line="276" w:lineRule="auto"/>
              <w:cnfStyle w:val="100000000000"/>
              <w:rPr>
                <w:rFonts w:eastAsia="Times New Roman" w:cs="Times New Roman"/>
                <w:b w:val="0"/>
                <w:sz w:val="22"/>
                <w:lang w:eastAsia="en-CA"/>
              </w:rPr>
            </w:pPr>
            <w:r w:rsidRPr="00166EC9">
              <w:rPr>
                <w:rFonts w:eastAsia="Times New Roman" w:cs="Times New Roman"/>
                <w:b w:val="0"/>
                <w:sz w:val="22"/>
                <w:lang w:eastAsia="en-CA"/>
              </w:rPr>
              <w:t xml:space="preserve">Suncor </w:t>
            </w:r>
            <w:r w:rsidR="007E6B12" w:rsidRPr="00166EC9">
              <w:rPr>
                <w:rFonts w:eastAsia="Times New Roman" w:cs="Times New Roman"/>
                <w:b w:val="0"/>
                <w:sz w:val="22"/>
                <w:lang w:eastAsia="en-CA"/>
              </w:rPr>
              <w:t>Energy Inc. Growth opportunity</w:t>
            </w:r>
          </w:p>
        </w:tc>
        <w:tc>
          <w:tcPr>
            <w:tcW w:w="1581" w:type="dxa"/>
          </w:tcPr>
          <w:p w:rsidR="00E026CE" w:rsidRPr="00166EC9" w:rsidRDefault="00E026CE" w:rsidP="006378EE">
            <w:pPr>
              <w:spacing w:line="276" w:lineRule="auto"/>
              <w:cnfStyle w:val="100000000000"/>
              <w:rPr>
                <w:rFonts w:eastAsia="Times New Roman" w:cs="Times New Roman"/>
                <w:b w:val="0"/>
                <w:sz w:val="22"/>
                <w:lang w:eastAsia="en-CA"/>
              </w:rPr>
            </w:pPr>
            <w:r w:rsidRPr="00166EC9">
              <w:rPr>
                <w:rFonts w:eastAsia="Times New Roman" w:cs="Times New Roman"/>
                <w:b w:val="0"/>
                <w:sz w:val="22"/>
                <w:lang w:eastAsia="en-CA"/>
              </w:rPr>
              <w:t>Encourages Canadian Economic Growth</w:t>
            </w:r>
          </w:p>
        </w:tc>
        <w:tc>
          <w:tcPr>
            <w:tcW w:w="1622" w:type="dxa"/>
          </w:tcPr>
          <w:p w:rsidR="00E026CE" w:rsidRPr="00166EC9" w:rsidRDefault="00E026CE" w:rsidP="006378EE">
            <w:pPr>
              <w:spacing w:line="276" w:lineRule="auto"/>
              <w:cnfStyle w:val="100000000000"/>
              <w:rPr>
                <w:rFonts w:eastAsia="Times New Roman" w:cs="Times New Roman"/>
                <w:b w:val="0"/>
                <w:sz w:val="22"/>
                <w:lang w:eastAsia="en-CA"/>
              </w:rPr>
            </w:pPr>
            <w:r w:rsidRPr="00166EC9">
              <w:rPr>
                <w:rFonts w:eastAsia="Times New Roman" w:cs="Times New Roman"/>
                <w:b w:val="0"/>
                <w:sz w:val="22"/>
                <w:lang w:eastAsia="en-CA"/>
              </w:rPr>
              <w:t>Increases Global Exports</w:t>
            </w:r>
          </w:p>
        </w:tc>
        <w:tc>
          <w:tcPr>
            <w:tcW w:w="1694" w:type="dxa"/>
          </w:tcPr>
          <w:p w:rsidR="00E026CE" w:rsidRPr="00166EC9" w:rsidRDefault="00E026CE" w:rsidP="006378EE">
            <w:pPr>
              <w:spacing w:line="276" w:lineRule="auto"/>
              <w:cnfStyle w:val="100000000000"/>
              <w:rPr>
                <w:rFonts w:eastAsia="Times New Roman" w:cs="Times New Roman"/>
                <w:b w:val="0"/>
                <w:sz w:val="22"/>
                <w:lang w:eastAsia="en-CA"/>
              </w:rPr>
            </w:pPr>
            <w:r w:rsidRPr="00166EC9">
              <w:rPr>
                <w:rFonts w:eastAsia="Times New Roman" w:cs="Times New Roman"/>
                <w:b w:val="0"/>
                <w:sz w:val="22"/>
                <w:lang w:eastAsia="en-CA"/>
              </w:rPr>
              <w:t>Decreases US Dependence</w:t>
            </w:r>
          </w:p>
        </w:tc>
      </w:tr>
      <w:tr w:rsidR="00E026CE" w:rsidRPr="00166EC9" w:rsidTr="00E026CE">
        <w:trPr>
          <w:cnfStyle w:val="000000100000"/>
          <w:trHeight w:val="286"/>
        </w:trPr>
        <w:tc>
          <w:tcPr>
            <w:cnfStyle w:val="001000000000"/>
            <w:tcW w:w="2660" w:type="dxa"/>
          </w:tcPr>
          <w:p w:rsidR="00E026CE" w:rsidRPr="00166EC9" w:rsidRDefault="00F5376C" w:rsidP="00F5376C">
            <w:pPr>
              <w:spacing w:line="276" w:lineRule="auto"/>
              <w:rPr>
                <w:rFonts w:eastAsia="Times New Roman" w:cs="Times New Roman"/>
                <w:sz w:val="22"/>
                <w:lang w:eastAsia="en-CA"/>
              </w:rPr>
            </w:pPr>
            <w:r w:rsidRPr="00166EC9">
              <w:rPr>
                <w:rFonts w:eastAsia="Times New Roman" w:cs="Times New Roman"/>
                <w:b w:val="0"/>
                <w:bCs w:val="0"/>
                <w:sz w:val="22"/>
                <w:lang w:eastAsia="en-CA"/>
              </w:rPr>
              <w:t>I.</w:t>
            </w:r>
            <w:r w:rsidRPr="00166EC9">
              <w:rPr>
                <w:rFonts w:eastAsia="Times New Roman" w:cs="Times New Roman"/>
                <w:sz w:val="22"/>
                <w:lang w:eastAsia="en-CA"/>
              </w:rPr>
              <w:t xml:space="preserve"> </w:t>
            </w:r>
            <w:r w:rsidR="00E026CE" w:rsidRPr="00166EC9">
              <w:rPr>
                <w:rFonts w:eastAsia="Times New Roman" w:cs="Times New Roman"/>
                <w:sz w:val="22"/>
                <w:lang w:eastAsia="en-CA"/>
              </w:rPr>
              <w:t>Enbridge Northern Gateway Pipeline</w:t>
            </w:r>
          </w:p>
        </w:tc>
        <w:tc>
          <w:tcPr>
            <w:tcW w:w="1900" w:type="dxa"/>
          </w:tcPr>
          <w:p w:rsidR="00E026CE" w:rsidRPr="00166EC9" w:rsidRDefault="00D80F3B" w:rsidP="006378EE">
            <w:pPr>
              <w:spacing w:line="276" w:lineRule="auto"/>
              <w:cnfStyle w:val="000000100000"/>
              <w:rPr>
                <w:rFonts w:eastAsia="Times New Roman" w:cs="Times New Roman"/>
                <w:b/>
                <w:sz w:val="22"/>
                <w:u w:val="single"/>
                <w:lang w:eastAsia="en-CA"/>
              </w:rPr>
            </w:pPr>
            <w:r w:rsidRPr="00166EC9">
              <w:rPr>
                <w:rFonts w:eastAsia="Times New Roman" w:cs="Times New Roman"/>
                <w:b/>
                <w:sz w:val="22"/>
                <w:u w:val="single"/>
                <w:lang w:eastAsia="en-CA"/>
              </w:rPr>
              <w:t>Good</w:t>
            </w:r>
          </w:p>
        </w:tc>
        <w:tc>
          <w:tcPr>
            <w:tcW w:w="1581" w:type="dxa"/>
          </w:tcPr>
          <w:p w:rsidR="00E026CE" w:rsidRPr="00166EC9" w:rsidRDefault="00D80F3B" w:rsidP="006378EE">
            <w:pPr>
              <w:spacing w:line="276" w:lineRule="auto"/>
              <w:cnfStyle w:val="000000100000"/>
              <w:rPr>
                <w:rFonts w:eastAsia="Times New Roman" w:cs="Times New Roman"/>
                <w:b/>
                <w:sz w:val="22"/>
                <w:u w:val="single"/>
                <w:lang w:eastAsia="en-CA"/>
              </w:rPr>
            </w:pPr>
            <w:r w:rsidRPr="00166EC9">
              <w:rPr>
                <w:rFonts w:eastAsia="Times New Roman" w:cs="Times New Roman"/>
                <w:b/>
                <w:sz w:val="22"/>
                <w:u w:val="single"/>
                <w:lang w:eastAsia="en-CA"/>
              </w:rPr>
              <w:t>Good</w:t>
            </w:r>
          </w:p>
        </w:tc>
        <w:tc>
          <w:tcPr>
            <w:tcW w:w="1622" w:type="dxa"/>
          </w:tcPr>
          <w:p w:rsidR="00E026CE" w:rsidRPr="00166EC9" w:rsidRDefault="00D80F3B" w:rsidP="006378EE">
            <w:pPr>
              <w:spacing w:line="276" w:lineRule="auto"/>
              <w:cnfStyle w:val="000000100000"/>
              <w:rPr>
                <w:rFonts w:eastAsia="Times New Roman" w:cs="Times New Roman"/>
                <w:b/>
                <w:sz w:val="22"/>
                <w:u w:val="single"/>
                <w:lang w:eastAsia="en-CA"/>
              </w:rPr>
            </w:pPr>
            <w:r w:rsidRPr="00166EC9">
              <w:rPr>
                <w:rFonts w:eastAsia="Times New Roman" w:cs="Times New Roman"/>
                <w:b/>
                <w:sz w:val="22"/>
                <w:u w:val="single"/>
                <w:lang w:eastAsia="en-CA"/>
              </w:rPr>
              <w:t>Good</w:t>
            </w:r>
          </w:p>
        </w:tc>
        <w:tc>
          <w:tcPr>
            <w:tcW w:w="1694" w:type="dxa"/>
          </w:tcPr>
          <w:p w:rsidR="00E026CE" w:rsidRPr="00166EC9" w:rsidRDefault="00D80F3B" w:rsidP="006378EE">
            <w:pPr>
              <w:spacing w:line="276" w:lineRule="auto"/>
              <w:cnfStyle w:val="000000100000"/>
              <w:rPr>
                <w:rFonts w:eastAsia="Times New Roman" w:cs="Times New Roman"/>
                <w:b/>
                <w:sz w:val="22"/>
                <w:u w:val="single"/>
                <w:lang w:eastAsia="en-CA"/>
              </w:rPr>
            </w:pPr>
            <w:r w:rsidRPr="00166EC9">
              <w:rPr>
                <w:rFonts w:eastAsia="Times New Roman" w:cs="Times New Roman"/>
                <w:b/>
                <w:sz w:val="22"/>
                <w:u w:val="single"/>
                <w:lang w:eastAsia="en-CA"/>
              </w:rPr>
              <w:t>Good</w:t>
            </w:r>
          </w:p>
        </w:tc>
      </w:tr>
      <w:tr w:rsidR="00E026CE" w:rsidRPr="00166EC9" w:rsidTr="00E026CE">
        <w:trPr>
          <w:trHeight w:val="286"/>
        </w:trPr>
        <w:tc>
          <w:tcPr>
            <w:cnfStyle w:val="001000000000"/>
            <w:tcW w:w="2660" w:type="dxa"/>
          </w:tcPr>
          <w:p w:rsidR="00E026CE" w:rsidRPr="00166EC9" w:rsidRDefault="00F5376C" w:rsidP="006378EE">
            <w:pPr>
              <w:spacing w:line="276" w:lineRule="auto"/>
              <w:rPr>
                <w:rFonts w:eastAsia="Times New Roman" w:cs="Times New Roman"/>
                <w:sz w:val="22"/>
                <w:lang w:eastAsia="en-CA"/>
              </w:rPr>
            </w:pPr>
            <w:r w:rsidRPr="00166EC9">
              <w:rPr>
                <w:rFonts w:eastAsia="Times New Roman" w:cs="Times New Roman"/>
                <w:sz w:val="22"/>
                <w:lang w:eastAsia="en-CA"/>
              </w:rPr>
              <w:t xml:space="preserve">II. </w:t>
            </w:r>
            <w:r w:rsidR="00E026CE" w:rsidRPr="00166EC9">
              <w:rPr>
                <w:rFonts w:eastAsia="Times New Roman" w:cs="Times New Roman"/>
                <w:sz w:val="22"/>
                <w:lang w:eastAsia="en-CA"/>
              </w:rPr>
              <w:t>No major additional pipeline projects</w:t>
            </w:r>
          </w:p>
        </w:tc>
        <w:tc>
          <w:tcPr>
            <w:tcW w:w="1900" w:type="dxa"/>
          </w:tcPr>
          <w:p w:rsidR="00E026CE" w:rsidRPr="00166EC9" w:rsidRDefault="00D80F3B" w:rsidP="006378EE">
            <w:pPr>
              <w:spacing w:line="276" w:lineRule="auto"/>
              <w:cnfStyle w:val="000000000000"/>
              <w:rPr>
                <w:rFonts w:eastAsia="Times New Roman" w:cs="Times New Roman"/>
                <w:b/>
                <w:sz w:val="22"/>
                <w:u w:val="single"/>
                <w:lang w:eastAsia="en-CA"/>
              </w:rPr>
            </w:pPr>
            <w:r w:rsidRPr="00166EC9">
              <w:rPr>
                <w:rFonts w:eastAsia="Times New Roman" w:cs="Times New Roman"/>
                <w:b/>
                <w:sz w:val="22"/>
                <w:u w:val="single"/>
                <w:lang w:eastAsia="en-CA"/>
              </w:rPr>
              <w:t>Neutral</w:t>
            </w:r>
          </w:p>
        </w:tc>
        <w:tc>
          <w:tcPr>
            <w:tcW w:w="1581" w:type="dxa"/>
          </w:tcPr>
          <w:p w:rsidR="00E026CE" w:rsidRPr="00166EC9" w:rsidRDefault="00D80F3B" w:rsidP="006378EE">
            <w:pPr>
              <w:spacing w:line="276" w:lineRule="auto"/>
              <w:cnfStyle w:val="000000000000"/>
              <w:rPr>
                <w:rFonts w:eastAsia="Times New Roman" w:cs="Times New Roman"/>
                <w:b/>
                <w:sz w:val="22"/>
                <w:u w:val="single"/>
                <w:lang w:eastAsia="en-CA"/>
              </w:rPr>
            </w:pPr>
            <w:r w:rsidRPr="00166EC9">
              <w:rPr>
                <w:rFonts w:eastAsia="Times New Roman" w:cs="Times New Roman"/>
                <w:b/>
                <w:sz w:val="22"/>
                <w:u w:val="single"/>
                <w:lang w:eastAsia="en-CA"/>
              </w:rPr>
              <w:t>Bad</w:t>
            </w:r>
          </w:p>
        </w:tc>
        <w:tc>
          <w:tcPr>
            <w:tcW w:w="1622" w:type="dxa"/>
          </w:tcPr>
          <w:p w:rsidR="00E026CE" w:rsidRPr="00166EC9" w:rsidRDefault="00D80F3B" w:rsidP="006378EE">
            <w:pPr>
              <w:spacing w:line="276" w:lineRule="auto"/>
              <w:cnfStyle w:val="000000000000"/>
              <w:rPr>
                <w:rFonts w:eastAsia="Times New Roman" w:cs="Times New Roman"/>
                <w:b/>
                <w:sz w:val="22"/>
                <w:u w:val="single"/>
                <w:lang w:eastAsia="en-CA"/>
              </w:rPr>
            </w:pPr>
            <w:r w:rsidRPr="00166EC9">
              <w:rPr>
                <w:rFonts w:eastAsia="Times New Roman" w:cs="Times New Roman"/>
                <w:b/>
                <w:sz w:val="22"/>
                <w:u w:val="single"/>
                <w:lang w:eastAsia="en-CA"/>
              </w:rPr>
              <w:t>Bad</w:t>
            </w:r>
          </w:p>
        </w:tc>
        <w:tc>
          <w:tcPr>
            <w:tcW w:w="1694" w:type="dxa"/>
          </w:tcPr>
          <w:p w:rsidR="00E026CE" w:rsidRPr="00166EC9" w:rsidRDefault="00D80F3B" w:rsidP="006378EE">
            <w:pPr>
              <w:spacing w:line="276" w:lineRule="auto"/>
              <w:cnfStyle w:val="000000000000"/>
              <w:rPr>
                <w:rFonts w:eastAsia="Times New Roman" w:cs="Times New Roman"/>
                <w:b/>
                <w:sz w:val="22"/>
                <w:u w:val="single"/>
                <w:lang w:eastAsia="en-CA"/>
              </w:rPr>
            </w:pPr>
            <w:r w:rsidRPr="00166EC9">
              <w:rPr>
                <w:rFonts w:eastAsia="Times New Roman" w:cs="Times New Roman"/>
                <w:b/>
                <w:sz w:val="22"/>
                <w:u w:val="single"/>
                <w:lang w:eastAsia="en-CA"/>
              </w:rPr>
              <w:t>Bad</w:t>
            </w:r>
          </w:p>
        </w:tc>
      </w:tr>
      <w:tr w:rsidR="00E026CE" w:rsidRPr="00166EC9" w:rsidTr="00D80F3B">
        <w:trPr>
          <w:cnfStyle w:val="000000100000"/>
          <w:trHeight w:val="601"/>
        </w:trPr>
        <w:tc>
          <w:tcPr>
            <w:cnfStyle w:val="001000000000"/>
            <w:tcW w:w="2660" w:type="dxa"/>
          </w:tcPr>
          <w:p w:rsidR="00E026CE" w:rsidRPr="00166EC9" w:rsidRDefault="00F5376C" w:rsidP="006378EE">
            <w:pPr>
              <w:spacing w:line="276" w:lineRule="auto"/>
              <w:rPr>
                <w:rFonts w:eastAsia="Times New Roman" w:cs="Times New Roman"/>
                <w:sz w:val="22"/>
                <w:lang w:eastAsia="en-CA"/>
              </w:rPr>
            </w:pPr>
            <w:r w:rsidRPr="00166EC9">
              <w:rPr>
                <w:rFonts w:eastAsia="Times New Roman" w:cs="Times New Roman"/>
                <w:sz w:val="22"/>
                <w:lang w:eastAsia="en-CA"/>
              </w:rPr>
              <w:t xml:space="preserve">III. </w:t>
            </w:r>
            <w:r w:rsidR="00E026CE" w:rsidRPr="00166EC9">
              <w:rPr>
                <w:rFonts w:eastAsia="Times New Roman" w:cs="Times New Roman"/>
                <w:sz w:val="22"/>
                <w:lang w:eastAsia="en-CA"/>
              </w:rPr>
              <w:t>Keystone XL Pipeline</w:t>
            </w:r>
          </w:p>
        </w:tc>
        <w:tc>
          <w:tcPr>
            <w:tcW w:w="1900" w:type="dxa"/>
          </w:tcPr>
          <w:p w:rsidR="00E026CE" w:rsidRPr="00166EC9" w:rsidRDefault="00D80F3B" w:rsidP="006378EE">
            <w:pPr>
              <w:spacing w:line="276" w:lineRule="auto"/>
              <w:cnfStyle w:val="000000100000"/>
              <w:rPr>
                <w:rFonts w:eastAsia="Times New Roman" w:cs="Times New Roman"/>
                <w:b/>
                <w:sz w:val="22"/>
                <w:u w:val="single"/>
                <w:lang w:eastAsia="en-CA"/>
              </w:rPr>
            </w:pPr>
            <w:r w:rsidRPr="00166EC9">
              <w:rPr>
                <w:rFonts w:eastAsia="Times New Roman" w:cs="Times New Roman"/>
                <w:b/>
                <w:sz w:val="22"/>
                <w:u w:val="single"/>
                <w:lang w:eastAsia="en-CA"/>
              </w:rPr>
              <w:t>Good</w:t>
            </w:r>
          </w:p>
        </w:tc>
        <w:tc>
          <w:tcPr>
            <w:tcW w:w="1581" w:type="dxa"/>
          </w:tcPr>
          <w:p w:rsidR="00E026CE" w:rsidRPr="00166EC9" w:rsidRDefault="00D80F3B" w:rsidP="006378EE">
            <w:pPr>
              <w:spacing w:line="276" w:lineRule="auto"/>
              <w:cnfStyle w:val="000000100000"/>
              <w:rPr>
                <w:rFonts w:eastAsia="Times New Roman" w:cs="Times New Roman"/>
                <w:b/>
                <w:sz w:val="22"/>
                <w:u w:val="single"/>
                <w:lang w:eastAsia="en-CA"/>
              </w:rPr>
            </w:pPr>
            <w:r w:rsidRPr="00166EC9">
              <w:rPr>
                <w:rFonts w:eastAsia="Times New Roman" w:cs="Times New Roman"/>
                <w:b/>
                <w:sz w:val="22"/>
                <w:u w:val="single"/>
                <w:lang w:eastAsia="en-CA"/>
              </w:rPr>
              <w:t>Good</w:t>
            </w:r>
          </w:p>
        </w:tc>
        <w:tc>
          <w:tcPr>
            <w:tcW w:w="1622" w:type="dxa"/>
          </w:tcPr>
          <w:p w:rsidR="00E026CE" w:rsidRPr="00166EC9" w:rsidRDefault="00D80F3B" w:rsidP="006378EE">
            <w:pPr>
              <w:spacing w:line="276" w:lineRule="auto"/>
              <w:cnfStyle w:val="000000100000"/>
              <w:rPr>
                <w:rFonts w:eastAsia="Times New Roman" w:cs="Times New Roman"/>
                <w:b/>
                <w:sz w:val="22"/>
                <w:u w:val="single"/>
                <w:lang w:eastAsia="en-CA"/>
              </w:rPr>
            </w:pPr>
            <w:r w:rsidRPr="00166EC9">
              <w:rPr>
                <w:rFonts w:eastAsia="Times New Roman" w:cs="Times New Roman"/>
                <w:b/>
                <w:sz w:val="22"/>
                <w:u w:val="single"/>
                <w:lang w:eastAsia="en-CA"/>
              </w:rPr>
              <w:t>Good</w:t>
            </w:r>
          </w:p>
        </w:tc>
        <w:tc>
          <w:tcPr>
            <w:tcW w:w="1694" w:type="dxa"/>
          </w:tcPr>
          <w:p w:rsidR="00E026CE" w:rsidRPr="00166EC9" w:rsidRDefault="00D80F3B" w:rsidP="006378EE">
            <w:pPr>
              <w:spacing w:line="276" w:lineRule="auto"/>
              <w:cnfStyle w:val="000000100000"/>
              <w:rPr>
                <w:rFonts w:eastAsia="Times New Roman" w:cs="Times New Roman"/>
                <w:b/>
                <w:sz w:val="22"/>
                <w:u w:val="single"/>
                <w:lang w:eastAsia="en-CA"/>
              </w:rPr>
            </w:pPr>
            <w:r w:rsidRPr="00166EC9">
              <w:rPr>
                <w:rFonts w:eastAsia="Times New Roman" w:cs="Times New Roman"/>
                <w:b/>
                <w:sz w:val="22"/>
                <w:u w:val="single"/>
                <w:lang w:eastAsia="en-CA"/>
              </w:rPr>
              <w:t>Bad</w:t>
            </w:r>
          </w:p>
        </w:tc>
      </w:tr>
    </w:tbl>
    <w:p w:rsidR="007D0579" w:rsidRPr="00166EC9" w:rsidRDefault="007D0579" w:rsidP="007D0579">
      <w:pPr>
        <w:spacing w:line="480" w:lineRule="auto"/>
        <w:rPr>
          <w:rFonts w:eastAsia="Times New Roman" w:cs="Times New Roman"/>
          <w:b/>
          <w:sz w:val="22"/>
          <w:u w:val="single"/>
          <w:lang w:eastAsia="en-CA"/>
        </w:rPr>
      </w:pPr>
    </w:p>
    <w:p w:rsidR="00CE7765" w:rsidRPr="00DF1CF1" w:rsidRDefault="00DF1CF1" w:rsidP="00E80231">
      <w:pPr>
        <w:spacing w:line="480" w:lineRule="auto"/>
        <w:ind w:firstLine="720"/>
        <w:jc w:val="both"/>
        <w:rPr>
          <w:rFonts w:eastAsia="Times New Roman" w:cs="Times New Roman"/>
          <w:sz w:val="22"/>
          <w:lang w:eastAsia="en-CA"/>
        </w:rPr>
      </w:pPr>
      <w:proofErr w:type="gramStart"/>
      <w:r w:rsidRPr="00C67630">
        <w:rPr>
          <w:rFonts w:eastAsia="Times New Roman" w:cs="Times New Roman"/>
          <w:b/>
          <w:sz w:val="24"/>
          <w:szCs w:val="24"/>
          <w:lang w:eastAsia="en-CA"/>
        </w:rPr>
        <w:t>i</w:t>
      </w:r>
      <w:proofErr w:type="gramEnd"/>
      <w:r w:rsidRPr="00C67630">
        <w:rPr>
          <w:rFonts w:eastAsia="Times New Roman" w:cs="Times New Roman"/>
          <w:b/>
          <w:sz w:val="24"/>
          <w:szCs w:val="24"/>
          <w:lang w:eastAsia="en-CA"/>
        </w:rPr>
        <w:t>.</w:t>
      </w:r>
      <w:r w:rsidRPr="00C67630">
        <w:rPr>
          <w:rFonts w:eastAsia="Times New Roman" w:cs="Times New Roman"/>
          <w:b/>
          <w:sz w:val="24"/>
          <w:szCs w:val="24"/>
          <w:lang w:eastAsia="en-CA"/>
        </w:rPr>
        <w:tab/>
      </w:r>
      <w:r w:rsidR="009A5B3B" w:rsidRPr="00C67630">
        <w:rPr>
          <w:rFonts w:eastAsia="Times New Roman" w:cs="Times New Roman"/>
          <w:b/>
          <w:sz w:val="24"/>
          <w:szCs w:val="24"/>
          <w:lang w:eastAsia="en-CA"/>
        </w:rPr>
        <w:t xml:space="preserve">Enbridge </w:t>
      </w:r>
      <w:r w:rsidR="00441F38" w:rsidRPr="00C67630">
        <w:rPr>
          <w:rFonts w:eastAsia="Times New Roman" w:cs="Times New Roman"/>
          <w:b/>
          <w:sz w:val="24"/>
          <w:szCs w:val="24"/>
          <w:lang w:eastAsia="en-CA"/>
        </w:rPr>
        <w:t>Northern Gateway Pipeline Approved</w:t>
      </w:r>
      <w:r w:rsidR="00857F65" w:rsidRPr="00DF1CF1">
        <w:rPr>
          <w:rFonts w:eastAsia="Times New Roman" w:cs="Times New Roman"/>
          <w:sz w:val="22"/>
          <w:lang w:eastAsia="en-CA"/>
        </w:rPr>
        <w:br/>
      </w:r>
      <w:r w:rsidR="00857F65" w:rsidRPr="00DF1CF1">
        <w:rPr>
          <w:rFonts w:eastAsia="Times New Roman" w:cs="Times New Roman"/>
          <w:color w:val="000000"/>
          <w:sz w:val="22"/>
          <w:lang w:eastAsia="en-CA"/>
        </w:rPr>
        <w:t xml:space="preserve">         If the Enbridge </w:t>
      </w:r>
      <w:r w:rsidR="00441F38" w:rsidRPr="00DF1CF1">
        <w:rPr>
          <w:rFonts w:eastAsia="Times New Roman" w:cs="Times New Roman"/>
          <w:color w:val="000000"/>
          <w:sz w:val="22"/>
          <w:lang w:eastAsia="en-CA"/>
        </w:rPr>
        <w:t>Northern Gateway P</w:t>
      </w:r>
      <w:r w:rsidR="00857F65" w:rsidRPr="00DF1CF1">
        <w:rPr>
          <w:rFonts w:eastAsia="Times New Roman" w:cs="Times New Roman"/>
          <w:color w:val="000000"/>
          <w:sz w:val="22"/>
          <w:lang w:eastAsia="en-CA"/>
        </w:rPr>
        <w:t xml:space="preserve">ipeline </w:t>
      </w:r>
      <w:r w:rsidR="00441F38" w:rsidRPr="00DF1CF1">
        <w:rPr>
          <w:rFonts w:eastAsia="Times New Roman" w:cs="Times New Roman"/>
          <w:color w:val="000000"/>
          <w:sz w:val="22"/>
          <w:lang w:eastAsia="en-CA"/>
        </w:rPr>
        <w:t>project were to move forward</w:t>
      </w:r>
      <w:r w:rsidR="00857F65" w:rsidRPr="00DF1CF1">
        <w:rPr>
          <w:rFonts w:eastAsia="Times New Roman" w:cs="Times New Roman"/>
          <w:color w:val="000000"/>
          <w:sz w:val="22"/>
          <w:lang w:eastAsia="en-CA"/>
        </w:rPr>
        <w:t xml:space="preserve"> it would </w:t>
      </w:r>
      <w:r w:rsidR="00441F38" w:rsidRPr="00DF1CF1">
        <w:rPr>
          <w:rFonts w:eastAsia="Times New Roman" w:cs="Times New Roman"/>
          <w:color w:val="000000"/>
          <w:sz w:val="22"/>
          <w:lang w:eastAsia="en-CA"/>
        </w:rPr>
        <w:t>prove beneficial for Canada on multiple different fronts.</w:t>
      </w:r>
    </w:p>
    <w:p w:rsidR="00D02C42" w:rsidRPr="00166EC9" w:rsidRDefault="00B626A3" w:rsidP="00E80231">
      <w:pPr>
        <w:spacing w:line="480" w:lineRule="auto"/>
        <w:ind w:firstLine="720"/>
        <w:jc w:val="both"/>
        <w:rPr>
          <w:rFonts w:eastAsia="Times New Roman" w:cs="Times New Roman"/>
          <w:color w:val="000000"/>
          <w:sz w:val="22"/>
          <w:lang w:eastAsia="en-CA"/>
        </w:rPr>
      </w:pPr>
      <w:r w:rsidRPr="00166EC9">
        <w:rPr>
          <w:rFonts w:eastAsia="Times New Roman" w:cs="Times New Roman"/>
          <w:sz w:val="22"/>
          <w:lang w:eastAsia="en-CA"/>
        </w:rPr>
        <w:t>From a</w:t>
      </w:r>
      <w:r w:rsidRPr="00166EC9">
        <w:rPr>
          <w:rFonts w:eastAsia="Times New Roman" w:cs="Times New Roman"/>
          <w:color w:val="000000"/>
          <w:sz w:val="22"/>
          <w:lang w:eastAsia="en-CA"/>
        </w:rPr>
        <w:t xml:space="preserve"> purely economic consideration,</w:t>
      </w:r>
      <w:r w:rsidR="00857F65" w:rsidRPr="00166EC9">
        <w:rPr>
          <w:rFonts w:eastAsia="Times New Roman" w:cs="Times New Roman"/>
          <w:color w:val="000000"/>
          <w:sz w:val="22"/>
          <w:lang w:eastAsia="en-CA"/>
        </w:rPr>
        <w:t xml:space="preserve"> Canada stands to gain from the development of the Northern Gateway pip</w:t>
      </w:r>
      <w:r w:rsidR="00D5438E" w:rsidRPr="00166EC9">
        <w:rPr>
          <w:rFonts w:eastAsia="Times New Roman" w:cs="Times New Roman"/>
          <w:color w:val="000000"/>
          <w:sz w:val="22"/>
          <w:lang w:eastAsia="en-CA"/>
        </w:rPr>
        <w:t xml:space="preserve">eline a </w:t>
      </w:r>
      <w:r w:rsidR="001276FA">
        <w:rPr>
          <w:rFonts w:eastAsia="Times New Roman" w:cs="Times New Roman"/>
          <w:color w:val="000000"/>
          <w:sz w:val="22"/>
          <w:lang w:eastAsia="en-CA"/>
        </w:rPr>
        <w:t>possible</w:t>
      </w:r>
      <w:r w:rsidR="00D5438E" w:rsidRPr="00166EC9">
        <w:rPr>
          <w:rFonts w:eastAsia="Times New Roman" w:cs="Times New Roman"/>
          <w:color w:val="000000"/>
          <w:sz w:val="22"/>
          <w:lang w:eastAsia="en-CA"/>
        </w:rPr>
        <w:t xml:space="preserve"> $400 billion in</w:t>
      </w:r>
      <w:r w:rsidR="00857F65" w:rsidRPr="00166EC9">
        <w:rPr>
          <w:rFonts w:eastAsia="Times New Roman" w:cs="Times New Roman"/>
          <w:color w:val="000000"/>
          <w:sz w:val="22"/>
          <w:lang w:eastAsia="en-CA"/>
        </w:rPr>
        <w:t xml:space="preserve"> added GDP </w:t>
      </w:r>
      <w:r w:rsidR="00D02C42" w:rsidRPr="00166EC9">
        <w:rPr>
          <w:rFonts w:eastAsia="Times New Roman" w:cs="Times New Roman"/>
          <w:color w:val="000000"/>
          <w:sz w:val="22"/>
          <w:lang w:eastAsia="en-CA"/>
        </w:rPr>
        <w:t>over t</w:t>
      </w:r>
      <w:r w:rsidR="00CA7367">
        <w:rPr>
          <w:rFonts w:eastAsia="Times New Roman" w:cs="Times New Roman"/>
          <w:color w:val="000000"/>
          <w:sz w:val="22"/>
          <w:lang w:eastAsia="en-CA"/>
        </w:rPr>
        <w:t>wenty-five years</w:t>
      </w:r>
      <w:r w:rsidR="00A056DD" w:rsidRPr="00166EC9">
        <w:rPr>
          <w:rStyle w:val="FootnoteReference"/>
          <w:rFonts w:eastAsia="Times New Roman" w:cs="Times New Roman"/>
          <w:color w:val="000000"/>
          <w:sz w:val="22"/>
          <w:lang w:eastAsia="en-CA"/>
        </w:rPr>
        <w:footnoteReference w:id="9"/>
      </w:r>
      <w:r w:rsidR="00E273B4" w:rsidRPr="00166EC9">
        <w:rPr>
          <w:rFonts w:eastAsia="Times New Roman" w:cs="Times New Roman"/>
          <w:color w:val="000000"/>
          <w:sz w:val="22"/>
          <w:lang w:eastAsia="en-CA"/>
        </w:rPr>
        <w:t xml:space="preserve"> which is the equivalent to 22% of Canada’s current GDP.</w:t>
      </w:r>
      <w:r w:rsidR="00D02C42" w:rsidRPr="00166EC9">
        <w:rPr>
          <w:rFonts w:eastAsia="Times New Roman" w:cs="Times New Roman"/>
          <w:color w:val="000000"/>
          <w:sz w:val="22"/>
          <w:lang w:eastAsia="en-CA"/>
        </w:rPr>
        <w:t xml:space="preserve"> </w:t>
      </w:r>
      <w:r w:rsidR="00E031CE">
        <w:rPr>
          <w:rFonts w:eastAsia="Times New Roman" w:cs="Times New Roman"/>
          <w:color w:val="000000"/>
          <w:sz w:val="22"/>
          <w:lang w:eastAsia="en-CA"/>
        </w:rPr>
        <w:t>During this same</w:t>
      </w:r>
      <w:r w:rsidR="00E273B4" w:rsidRPr="00166EC9">
        <w:rPr>
          <w:rFonts w:eastAsia="Times New Roman" w:cs="Times New Roman"/>
          <w:color w:val="000000"/>
          <w:sz w:val="22"/>
          <w:lang w:eastAsia="en-CA"/>
        </w:rPr>
        <w:t xml:space="preserve"> period the Canadian government has</w:t>
      </w:r>
      <w:r w:rsidR="00D02C42" w:rsidRPr="00166EC9">
        <w:rPr>
          <w:rFonts w:eastAsia="Times New Roman" w:cs="Times New Roman"/>
          <w:color w:val="000000"/>
          <w:sz w:val="22"/>
          <w:lang w:eastAsia="en-CA"/>
        </w:rPr>
        <w:t xml:space="preserve"> </w:t>
      </w:r>
      <w:r w:rsidR="00CF7510" w:rsidRPr="00166EC9">
        <w:rPr>
          <w:rFonts w:eastAsia="Times New Roman" w:cs="Times New Roman"/>
          <w:color w:val="000000"/>
          <w:sz w:val="22"/>
          <w:lang w:eastAsia="en-CA"/>
        </w:rPr>
        <w:t xml:space="preserve">a potential to </w:t>
      </w:r>
      <w:r w:rsidR="00707642" w:rsidRPr="00166EC9">
        <w:rPr>
          <w:rFonts w:eastAsia="Times New Roman" w:cs="Times New Roman"/>
          <w:color w:val="000000"/>
          <w:sz w:val="22"/>
          <w:lang w:eastAsia="en-CA"/>
        </w:rPr>
        <w:t>earn $77 billion in tax revenue</w:t>
      </w:r>
      <w:r w:rsidR="009369AD" w:rsidRPr="00166EC9">
        <w:rPr>
          <w:rFonts w:eastAsia="Times New Roman" w:cs="Times New Roman"/>
          <w:color w:val="000000"/>
          <w:sz w:val="22"/>
          <w:lang w:eastAsia="en-CA"/>
        </w:rPr>
        <w:t xml:space="preserve"> </w:t>
      </w:r>
      <w:r w:rsidR="00707642" w:rsidRPr="00166EC9">
        <w:rPr>
          <w:rFonts w:eastAsia="Times New Roman" w:cs="Times New Roman"/>
          <w:color w:val="000000"/>
          <w:sz w:val="22"/>
          <w:lang w:eastAsia="en-CA"/>
        </w:rPr>
        <w:t>coming</w:t>
      </w:r>
      <w:r w:rsidR="007D1AD2" w:rsidRPr="00166EC9">
        <w:rPr>
          <w:rFonts w:eastAsia="Times New Roman" w:cs="Times New Roman"/>
          <w:color w:val="000000"/>
          <w:sz w:val="22"/>
          <w:lang w:eastAsia="en-CA"/>
        </w:rPr>
        <w:t xml:space="preserve"> primarily</w:t>
      </w:r>
      <w:r w:rsidR="00707642" w:rsidRPr="00166EC9">
        <w:rPr>
          <w:rFonts w:eastAsia="Times New Roman" w:cs="Times New Roman"/>
          <w:color w:val="000000"/>
          <w:sz w:val="22"/>
          <w:lang w:eastAsia="en-CA"/>
        </w:rPr>
        <w:t xml:space="preserve"> from</w:t>
      </w:r>
      <w:r w:rsidR="007D1AD2" w:rsidRPr="00166EC9">
        <w:rPr>
          <w:rFonts w:eastAsia="Times New Roman" w:cs="Times New Roman"/>
          <w:color w:val="000000"/>
          <w:sz w:val="22"/>
          <w:lang w:eastAsia="en-CA"/>
        </w:rPr>
        <w:t xml:space="preserve"> oil sand development companies</w:t>
      </w:r>
      <w:r w:rsidR="009369AD" w:rsidRPr="00166EC9">
        <w:rPr>
          <w:rStyle w:val="FootnoteReference"/>
          <w:rFonts w:eastAsia="Times New Roman" w:cs="Times New Roman"/>
          <w:color w:val="000000"/>
          <w:sz w:val="22"/>
          <w:lang w:eastAsia="en-CA"/>
        </w:rPr>
        <w:footnoteReference w:id="10"/>
      </w:r>
      <w:r w:rsidR="00A00511" w:rsidRPr="00166EC9">
        <w:rPr>
          <w:rFonts w:eastAsia="Times New Roman" w:cs="Times New Roman"/>
          <w:color w:val="000000"/>
          <w:sz w:val="22"/>
          <w:lang w:eastAsia="en-CA"/>
        </w:rPr>
        <w:t>.</w:t>
      </w:r>
    </w:p>
    <w:p w:rsidR="005F7A8B" w:rsidRPr="00166EC9" w:rsidRDefault="002A09E4" w:rsidP="00E80231">
      <w:pPr>
        <w:spacing w:line="480" w:lineRule="auto"/>
        <w:ind w:firstLine="720"/>
        <w:jc w:val="both"/>
        <w:rPr>
          <w:rFonts w:eastAsia="Times New Roman" w:cs="Times New Roman"/>
          <w:color w:val="000000"/>
          <w:sz w:val="22"/>
          <w:lang w:eastAsia="en-CA"/>
        </w:rPr>
      </w:pPr>
      <w:r>
        <w:rPr>
          <w:rFonts w:eastAsia="Times New Roman" w:cs="Times New Roman"/>
          <w:color w:val="000000"/>
          <w:sz w:val="22"/>
          <w:lang w:eastAsia="en-CA"/>
        </w:rPr>
        <w:t>On top of</w:t>
      </w:r>
      <w:r w:rsidR="00036D9D" w:rsidRPr="00166EC9">
        <w:rPr>
          <w:rFonts w:eastAsia="Times New Roman" w:cs="Times New Roman"/>
          <w:color w:val="000000"/>
          <w:sz w:val="22"/>
          <w:lang w:eastAsia="en-CA"/>
        </w:rPr>
        <w:t xml:space="preserve"> increased funding </w:t>
      </w:r>
      <w:r w:rsidR="004013A0" w:rsidRPr="00166EC9">
        <w:rPr>
          <w:rFonts w:eastAsia="Times New Roman" w:cs="Times New Roman"/>
          <w:color w:val="000000"/>
          <w:sz w:val="22"/>
          <w:lang w:eastAsia="en-CA"/>
        </w:rPr>
        <w:t>for</w:t>
      </w:r>
      <w:r w:rsidR="007F5B7C">
        <w:rPr>
          <w:rFonts w:eastAsia="Times New Roman" w:cs="Times New Roman"/>
          <w:color w:val="000000"/>
          <w:sz w:val="22"/>
          <w:lang w:eastAsia="en-CA"/>
        </w:rPr>
        <w:t xml:space="preserve"> government</w:t>
      </w:r>
      <w:r w:rsidR="004013A0" w:rsidRPr="00166EC9">
        <w:rPr>
          <w:rFonts w:eastAsia="Times New Roman" w:cs="Times New Roman"/>
          <w:color w:val="000000"/>
          <w:sz w:val="22"/>
          <w:lang w:eastAsia="en-CA"/>
        </w:rPr>
        <w:t xml:space="preserve"> social programs and inf</w:t>
      </w:r>
      <w:r w:rsidR="008A1B5F" w:rsidRPr="00166EC9">
        <w:rPr>
          <w:rFonts w:eastAsia="Times New Roman" w:cs="Times New Roman"/>
          <w:color w:val="000000"/>
          <w:sz w:val="22"/>
          <w:lang w:eastAsia="en-CA"/>
        </w:rPr>
        <w:t xml:space="preserve">rastructural upgrades, Canadian citizens </w:t>
      </w:r>
      <w:r w:rsidR="00574CFA">
        <w:rPr>
          <w:rFonts w:eastAsia="Times New Roman" w:cs="Times New Roman"/>
          <w:color w:val="000000"/>
          <w:sz w:val="22"/>
          <w:lang w:eastAsia="en-CA"/>
        </w:rPr>
        <w:t>benefit</w:t>
      </w:r>
      <w:r w:rsidR="00C811C2" w:rsidRPr="00166EC9">
        <w:rPr>
          <w:rFonts w:eastAsia="Times New Roman" w:cs="Times New Roman"/>
          <w:color w:val="000000"/>
          <w:sz w:val="22"/>
          <w:lang w:eastAsia="en-CA"/>
        </w:rPr>
        <w:t xml:space="preserve"> in terms of job creation.  </w:t>
      </w:r>
      <w:r w:rsidR="00A250F0" w:rsidRPr="00166EC9">
        <w:rPr>
          <w:rFonts w:eastAsia="Times New Roman" w:cs="Times New Roman"/>
          <w:color w:val="000000"/>
          <w:sz w:val="22"/>
          <w:lang w:eastAsia="en-CA"/>
        </w:rPr>
        <w:t>Twenty-five years follo</w:t>
      </w:r>
      <w:r w:rsidR="00C4316C" w:rsidRPr="00166EC9">
        <w:rPr>
          <w:rFonts w:eastAsia="Times New Roman" w:cs="Times New Roman"/>
          <w:color w:val="000000"/>
          <w:sz w:val="22"/>
          <w:lang w:eastAsia="en-CA"/>
        </w:rPr>
        <w:t xml:space="preserve">wing the </w:t>
      </w:r>
      <w:r w:rsidR="00C4316C" w:rsidRPr="00166EC9">
        <w:rPr>
          <w:rFonts w:eastAsia="Times New Roman" w:cs="Times New Roman"/>
          <w:color w:val="000000"/>
          <w:sz w:val="22"/>
          <w:lang w:eastAsia="en-CA"/>
        </w:rPr>
        <w:lastRenderedPageBreak/>
        <w:t>approval of the pipeline project</w:t>
      </w:r>
      <w:r w:rsidR="00D56F6C">
        <w:rPr>
          <w:rFonts w:eastAsia="Times New Roman" w:cs="Times New Roman"/>
          <w:color w:val="000000"/>
          <w:sz w:val="22"/>
          <w:lang w:eastAsia="en-CA"/>
        </w:rPr>
        <w:t>,</w:t>
      </w:r>
      <w:r w:rsidR="00C4316C" w:rsidRPr="00166EC9">
        <w:rPr>
          <w:rFonts w:eastAsia="Times New Roman" w:cs="Times New Roman"/>
          <w:color w:val="000000"/>
          <w:sz w:val="22"/>
          <w:lang w:eastAsia="en-CA"/>
        </w:rPr>
        <w:t xml:space="preserve"> Canada would witness an increase of 2.1 million person years of employment</w:t>
      </w:r>
      <w:r w:rsidR="00E570C7" w:rsidRPr="00166EC9">
        <w:rPr>
          <w:rStyle w:val="FootnoteReference"/>
          <w:rFonts w:eastAsia="Times New Roman" w:cs="Times New Roman"/>
          <w:color w:val="000000"/>
          <w:sz w:val="22"/>
          <w:lang w:eastAsia="en-CA"/>
        </w:rPr>
        <w:footnoteReference w:id="11"/>
      </w:r>
      <w:r w:rsidR="00C4316C" w:rsidRPr="00166EC9">
        <w:rPr>
          <w:rFonts w:eastAsia="Times New Roman" w:cs="Times New Roman"/>
          <w:color w:val="000000"/>
          <w:sz w:val="22"/>
          <w:lang w:eastAsia="en-CA"/>
        </w:rPr>
        <w:t>.</w:t>
      </w:r>
    </w:p>
    <w:p w:rsidR="001B5C86" w:rsidRPr="00166EC9" w:rsidRDefault="00857F65" w:rsidP="00E80231">
      <w:pPr>
        <w:spacing w:line="480" w:lineRule="auto"/>
        <w:ind w:firstLine="720"/>
        <w:jc w:val="both"/>
        <w:rPr>
          <w:rFonts w:eastAsia="Times New Roman" w:cs="Times New Roman"/>
          <w:color w:val="000000"/>
          <w:sz w:val="22"/>
          <w:lang w:eastAsia="en-CA"/>
        </w:rPr>
      </w:pPr>
      <w:r w:rsidRPr="00166EC9">
        <w:rPr>
          <w:rFonts w:eastAsia="Times New Roman" w:cs="Times New Roman"/>
          <w:color w:val="000000"/>
          <w:sz w:val="22"/>
          <w:lang w:eastAsia="en-CA"/>
        </w:rPr>
        <w:t>The increased revenues resulting from the pos</w:t>
      </w:r>
      <w:r w:rsidR="002B5158">
        <w:rPr>
          <w:rFonts w:eastAsia="Times New Roman" w:cs="Times New Roman"/>
          <w:color w:val="000000"/>
          <w:sz w:val="22"/>
          <w:lang w:eastAsia="en-CA"/>
        </w:rPr>
        <w:t>sible approval of the p</w:t>
      </w:r>
      <w:r w:rsidRPr="00166EC9">
        <w:rPr>
          <w:rFonts w:eastAsia="Times New Roman" w:cs="Times New Roman"/>
          <w:color w:val="000000"/>
          <w:sz w:val="22"/>
          <w:lang w:eastAsia="en-CA"/>
        </w:rPr>
        <w:t>ipeline would moreover enable Suncor to further their already extensive community development in</w:t>
      </w:r>
      <w:r w:rsidR="00330909" w:rsidRPr="00166EC9">
        <w:rPr>
          <w:rFonts w:eastAsia="Times New Roman" w:cs="Times New Roman"/>
          <w:color w:val="000000"/>
          <w:sz w:val="22"/>
          <w:lang w:eastAsia="en-CA"/>
        </w:rPr>
        <w:t>itiative</w:t>
      </w:r>
      <w:r w:rsidR="0087348F" w:rsidRPr="00166EC9">
        <w:rPr>
          <w:rFonts w:eastAsia="Times New Roman" w:cs="Times New Roman"/>
          <w:color w:val="000000"/>
          <w:sz w:val="22"/>
          <w:lang w:eastAsia="en-CA"/>
        </w:rPr>
        <w:t>s</w:t>
      </w:r>
      <w:r w:rsidR="00AC4619" w:rsidRPr="00166EC9">
        <w:rPr>
          <w:rFonts w:eastAsia="Times New Roman" w:cs="Times New Roman"/>
          <w:color w:val="000000"/>
          <w:sz w:val="22"/>
          <w:lang w:eastAsia="en-CA"/>
        </w:rPr>
        <w:t xml:space="preserve"> and Aboriginal sponsorship programs</w:t>
      </w:r>
      <w:r w:rsidR="00330909" w:rsidRPr="00166EC9">
        <w:rPr>
          <w:rFonts w:eastAsia="Times New Roman" w:cs="Times New Roman"/>
          <w:color w:val="000000"/>
          <w:sz w:val="22"/>
          <w:lang w:eastAsia="en-CA"/>
        </w:rPr>
        <w:t>.</w:t>
      </w:r>
      <w:r w:rsidR="00682705" w:rsidRPr="00166EC9">
        <w:rPr>
          <w:rFonts w:eastAsia="Times New Roman" w:cs="Times New Roman"/>
          <w:color w:val="000000"/>
          <w:sz w:val="22"/>
          <w:lang w:eastAsia="en-CA"/>
        </w:rPr>
        <w:t xml:space="preserve">  </w:t>
      </w:r>
      <w:r w:rsidR="001B5C86" w:rsidRPr="00166EC9">
        <w:rPr>
          <w:rFonts w:eastAsia="Times New Roman" w:cs="Times New Roman"/>
          <w:color w:val="000000"/>
          <w:sz w:val="22"/>
          <w:lang w:eastAsia="en-CA"/>
        </w:rPr>
        <w:t>       </w:t>
      </w:r>
    </w:p>
    <w:p w:rsidR="00971D7A" w:rsidRPr="00166EC9" w:rsidRDefault="0082717A" w:rsidP="00E80231">
      <w:pPr>
        <w:spacing w:line="480" w:lineRule="auto"/>
        <w:ind w:firstLine="720"/>
        <w:jc w:val="both"/>
        <w:rPr>
          <w:rFonts w:cs="Times New Roman"/>
          <w:color w:val="000000"/>
          <w:sz w:val="22"/>
        </w:rPr>
      </w:pPr>
      <w:r w:rsidRPr="00166EC9">
        <w:rPr>
          <w:rFonts w:eastAsia="Times New Roman" w:cs="Times New Roman"/>
          <w:color w:val="000000"/>
          <w:sz w:val="22"/>
          <w:lang w:eastAsia="en-CA"/>
        </w:rPr>
        <w:t xml:space="preserve">In regards to reducing </w:t>
      </w:r>
      <w:r w:rsidR="00857F65" w:rsidRPr="00166EC9">
        <w:rPr>
          <w:rFonts w:eastAsia="Times New Roman" w:cs="Times New Roman"/>
          <w:color w:val="000000"/>
          <w:sz w:val="22"/>
          <w:lang w:eastAsia="en-CA"/>
        </w:rPr>
        <w:t>environmental impa</w:t>
      </w:r>
      <w:r w:rsidR="0016612F" w:rsidRPr="00166EC9">
        <w:rPr>
          <w:rFonts w:eastAsia="Times New Roman" w:cs="Times New Roman"/>
          <w:color w:val="000000"/>
          <w:sz w:val="22"/>
          <w:lang w:eastAsia="en-CA"/>
        </w:rPr>
        <w:t>ct, by exporting oil to China, Canada</w:t>
      </w:r>
      <w:r w:rsidR="00857F65" w:rsidRPr="00166EC9">
        <w:rPr>
          <w:rFonts w:eastAsia="Times New Roman" w:cs="Times New Roman"/>
          <w:color w:val="000000"/>
          <w:sz w:val="22"/>
          <w:lang w:eastAsia="en-CA"/>
        </w:rPr>
        <w:t xml:space="preserve"> can help alleviate their large dependence upon coal as a fuel source</w:t>
      </w:r>
      <w:r w:rsidR="00FC631E" w:rsidRPr="00166EC9">
        <w:rPr>
          <w:rFonts w:eastAsia="Times New Roman" w:cs="Times New Roman"/>
          <w:color w:val="000000"/>
          <w:sz w:val="22"/>
          <w:lang w:eastAsia="en-CA"/>
        </w:rPr>
        <w:t>.  Currently</w:t>
      </w:r>
      <w:r w:rsidR="00860333" w:rsidRPr="00166EC9">
        <w:rPr>
          <w:rFonts w:eastAsia="Times New Roman" w:cs="Times New Roman"/>
          <w:color w:val="000000"/>
          <w:sz w:val="22"/>
          <w:lang w:eastAsia="en-CA"/>
        </w:rPr>
        <w:t xml:space="preserve"> 80% of China’s</w:t>
      </w:r>
      <w:r w:rsidR="00857F65" w:rsidRPr="00166EC9">
        <w:rPr>
          <w:rFonts w:eastAsia="Times New Roman" w:cs="Times New Roman"/>
          <w:color w:val="000000"/>
          <w:sz w:val="22"/>
          <w:lang w:eastAsia="en-CA"/>
        </w:rPr>
        <w:t xml:space="preserve"> </w:t>
      </w:r>
      <w:r w:rsidR="003D3160" w:rsidRPr="00166EC9">
        <w:rPr>
          <w:rFonts w:eastAsia="Times New Roman" w:cs="Times New Roman"/>
          <w:color w:val="000000"/>
          <w:sz w:val="22"/>
          <w:lang w:eastAsia="en-CA"/>
        </w:rPr>
        <w:t>generated electricity</w:t>
      </w:r>
      <w:r w:rsidR="00857F65" w:rsidRPr="00166EC9">
        <w:rPr>
          <w:rFonts w:eastAsia="Times New Roman" w:cs="Times New Roman"/>
          <w:color w:val="000000"/>
          <w:sz w:val="22"/>
          <w:lang w:eastAsia="en-CA"/>
        </w:rPr>
        <w:t xml:space="preserve"> comes from coal</w:t>
      </w:r>
      <w:r w:rsidR="009F452F" w:rsidRPr="00166EC9">
        <w:rPr>
          <w:rFonts w:eastAsia="Times New Roman" w:cs="Times New Roman"/>
          <w:color w:val="000000"/>
          <w:sz w:val="22"/>
          <w:lang w:eastAsia="en-CA"/>
        </w:rPr>
        <w:t xml:space="preserve"> which contributes to </w:t>
      </w:r>
      <w:r w:rsidR="000C5DE7" w:rsidRPr="00166EC9">
        <w:rPr>
          <w:rFonts w:eastAsia="Times New Roman" w:cs="Times New Roman"/>
          <w:color w:val="000000"/>
          <w:sz w:val="22"/>
          <w:lang w:eastAsia="en-CA"/>
        </w:rPr>
        <w:t>China’s</w:t>
      </w:r>
      <w:r w:rsidR="00857F65" w:rsidRPr="00166EC9">
        <w:rPr>
          <w:rFonts w:eastAsia="Times New Roman" w:cs="Times New Roman"/>
          <w:color w:val="000000"/>
          <w:sz w:val="22"/>
          <w:lang w:eastAsia="en-CA"/>
        </w:rPr>
        <w:t xml:space="preserve"> 1.8 billion tons of coal per year </w:t>
      </w:r>
      <w:r w:rsidR="00C14915" w:rsidRPr="00166EC9">
        <w:rPr>
          <w:rFonts w:eastAsia="Times New Roman" w:cs="Times New Roman"/>
          <w:color w:val="000000"/>
          <w:sz w:val="22"/>
          <w:lang w:eastAsia="en-CA"/>
        </w:rPr>
        <w:t>usage</w:t>
      </w:r>
      <w:r w:rsidR="00FB0BEF" w:rsidRPr="00166EC9">
        <w:rPr>
          <w:rFonts w:eastAsia="Times New Roman" w:cs="Times New Roman"/>
          <w:color w:val="000000"/>
          <w:sz w:val="22"/>
          <w:lang w:eastAsia="en-CA"/>
        </w:rPr>
        <w:t>.  Their usage</w:t>
      </w:r>
      <w:r w:rsidR="00C14915" w:rsidRPr="00166EC9">
        <w:rPr>
          <w:rFonts w:eastAsia="Times New Roman" w:cs="Times New Roman"/>
          <w:color w:val="000000"/>
          <w:sz w:val="22"/>
          <w:lang w:eastAsia="en-CA"/>
        </w:rPr>
        <w:t xml:space="preserve"> </w:t>
      </w:r>
      <w:r w:rsidR="00857F65" w:rsidRPr="00166EC9">
        <w:rPr>
          <w:rFonts w:eastAsia="Times New Roman" w:cs="Times New Roman"/>
          <w:color w:val="000000"/>
          <w:sz w:val="22"/>
          <w:lang w:eastAsia="en-CA"/>
        </w:rPr>
        <w:t xml:space="preserve">is expected to increase as 86% of </w:t>
      </w:r>
      <w:r w:rsidR="00896731" w:rsidRPr="00166EC9">
        <w:rPr>
          <w:rFonts w:eastAsia="Times New Roman" w:cs="Times New Roman"/>
          <w:color w:val="000000"/>
          <w:sz w:val="22"/>
          <w:lang w:eastAsia="en-CA"/>
        </w:rPr>
        <w:t>incremental world coal demand by</w:t>
      </w:r>
      <w:r w:rsidR="00857F65" w:rsidRPr="00166EC9">
        <w:rPr>
          <w:rFonts w:eastAsia="Times New Roman" w:cs="Times New Roman"/>
          <w:color w:val="000000"/>
          <w:sz w:val="22"/>
          <w:lang w:eastAsia="en-CA"/>
        </w:rPr>
        <w:t xml:space="preserve"> of 2030 will come from China and India</w:t>
      </w:r>
      <w:r w:rsidR="005115C9" w:rsidRPr="00166EC9">
        <w:rPr>
          <w:rStyle w:val="FootnoteReference"/>
          <w:rFonts w:eastAsia="Times New Roman" w:cs="Times New Roman"/>
          <w:color w:val="000000"/>
          <w:sz w:val="22"/>
          <w:lang w:eastAsia="en-CA"/>
        </w:rPr>
        <w:footnoteReference w:id="12"/>
      </w:r>
      <w:r w:rsidR="00857F65" w:rsidRPr="00166EC9">
        <w:rPr>
          <w:rFonts w:eastAsia="Times New Roman" w:cs="Times New Roman"/>
          <w:color w:val="000000"/>
          <w:sz w:val="22"/>
          <w:lang w:eastAsia="en-CA"/>
        </w:rPr>
        <w:t>. This is alarming from an e</w:t>
      </w:r>
      <w:r w:rsidR="000416B7" w:rsidRPr="00166EC9">
        <w:rPr>
          <w:rFonts w:eastAsia="Times New Roman" w:cs="Times New Roman"/>
          <w:color w:val="000000"/>
          <w:sz w:val="22"/>
          <w:lang w:eastAsia="en-CA"/>
        </w:rPr>
        <w:t>nvironmental perspective due to the fact that</w:t>
      </w:r>
      <w:r w:rsidR="00857F65" w:rsidRPr="00166EC9">
        <w:rPr>
          <w:rFonts w:eastAsia="Times New Roman" w:cs="Times New Roman"/>
          <w:color w:val="000000"/>
          <w:sz w:val="22"/>
          <w:lang w:eastAsia="en-CA"/>
        </w:rPr>
        <w:t xml:space="preserve"> coal is 33% more carbon-intensive than natural oil</w:t>
      </w:r>
      <w:r w:rsidR="00AB535C" w:rsidRPr="00166EC9">
        <w:rPr>
          <w:rStyle w:val="FootnoteReference"/>
          <w:rFonts w:eastAsia="Times New Roman" w:cs="Times New Roman"/>
          <w:color w:val="000000"/>
          <w:sz w:val="22"/>
          <w:lang w:eastAsia="en-CA"/>
        </w:rPr>
        <w:footnoteReference w:id="13"/>
      </w:r>
      <w:r w:rsidR="00857F65" w:rsidRPr="00166EC9">
        <w:rPr>
          <w:rFonts w:eastAsia="Times New Roman" w:cs="Times New Roman"/>
          <w:color w:val="000000"/>
          <w:sz w:val="22"/>
          <w:lang w:eastAsia="en-CA"/>
        </w:rPr>
        <w:t>.  Exporting Canada’s oil to China would effectively reduce green house gas emissions by a significant degree</w:t>
      </w:r>
      <w:r w:rsidR="009072FE" w:rsidRPr="00166EC9">
        <w:rPr>
          <w:rFonts w:eastAsia="Times New Roman" w:cs="Times New Roman"/>
          <w:color w:val="000000"/>
          <w:sz w:val="22"/>
          <w:lang w:eastAsia="en-CA"/>
        </w:rPr>
        <w:t xml:space="preserve"> by replacing coal with a lower carbon-intensive alternative </w:t>
      </w:r>
      <w:r w:rsidR="00857F65" w:rsidRPr="00166EC9">
        <w:rPr>
          <w:rFonts w:eastAsia="Times New Roman" w:cs="Times New Roman"/>
          <w:color w:val="000000"/>
          <w:sz w:val="22"/>
          <w:lang w:eastAsia="en-CA"/>
        </w:rPr>
        <w:t xml:space="preserve">with the ultimate </w:t>
      </w:r>
      <w:r w:rsidR="000F32B8" w:rsidRPr="00166EC9">
        <w:rPr>
          <w:rFonts w:eastAsia="Times New Roman" w:cs="Times New Roman"/>
          <w:color w:val="000000"/>
          <w:sz w:val="22"/>
          <w:lang w:eastAsia="en-CA"/>
        </w:rPr>
        <w:t xml:space="preserve">goal of </w:t>
      </w:r>
      <w:r w:rsidR="00857F65" w:rsidRPr="00166EC9">
        <w:rPr>
          <w:rFonts w:eastAsia="Times New Roman" w:cs="Times New Roman"/>
          <w:color w:val="000000"/>
          <w:sz w:val="22"/>
          <w:lang w:eastAsia="en-CA"/>
        </w:rPr>
        <w:t xml:space="preserve">zero </w:t>
      </w:r>
      <w:r w:rsidR="00472CFE" w:rsidRPr="00166EC9">
        <w:rPr>
          <w:rFonts w:eastAsia="Times New Roman" w:cs="Times New Roman"/>
          <w:color w:val="000000"/>
          <w:sz w:val="22"/>
          <w:lang w:eastAsia="en-CA"/>
        </w:rPr>
        <w:t>coal-reliance</w:t>
      </w:r>
      <w:r w:rsidR="007D723E" w:rsidRPr="00166EC9">
        <w:rPr>
          <w:rFonts w:eastAsia="Times New Roman" w:cs="Times New Roman"/>
          <w:color w:val="000000"/>
          <w:sz w:val="22"/>
          <w:lang w:eastAsia="en-CA"/>
        </w:rPr>
        <w:t xml:space="preserve"> for China</w:t>
      </w:r>
      <w:r w:rsidR="00857F65" w:rsidRPr="00166EC9">
        <w:rPr>
          <w:rFonts w:eastAsia="Times New Roman" w:cs="Times New Roman"/>
          <w:color w:val="000000"/>
          <w:sz w:val="22"/>
          <w:lang w:eastAsia="en-CA"/>
        </w:rPr>
        <w:t xml:space="preserve"> in the future. </w:t>
      </w:r>
    </w:p>
    <w:p w:rsidR="00AC3E29" w:rsidRPr="00166EC9" w:rsidRDefault="00857F65" w:rsidP="00E80231">
      <w:pPr>
        <w:spacing w:line="480" w:lineRule="auto"/>
        <w:ind w:firstLine="720"/>
        <w:jc w:val="both"/>
        <w:rPr>
          <w:rFonts w:eastAsia="Times New Roman" w:cs="Times New Roman"/>
          <w:sz w:val="22"/>
          <w:lang w:eastAsia="en-CA"/>
        </w:rPr>
      </w:pPr>
      <w:r w:rsidRPr="00166EC9">
        <w:rPr>
          <w:rFonts w:eastAsia="Times New Roman" w:cs="Times New Roman"/>
          <w:color w:val="000000"/>
          <w:sz w:val="22"/>
          <w:lang w:eastAsia="en-CA"/>
        </w:rPr>
        <w:t xml:space="preserve">         Currently the US accounts for upwards </w:t>
      </w:r>
      <w:r w:rsidR="000022C4" w:rsidRPr="00166EC9">
        <w:rPr>
          <w:rFonts w:eastAsia="Times New Roman" w:cs="Times New Roman"/>
          <w:color w:val="000000"/>
          <w:sz w:val="22"/>
          <w:lang w:eastAsia="en-CA"/>
        </w:rPr>
        <w:t>of 97% of Canada’s oil exports</w:t>
      </w:r>
      <w:r w:rsidR="000022C4" w:rsidRPr="00166EC9">
        <w:rPr>
          <w:rStyle w:val="FootnoteReference"/>
          <w:rFonts w:eastAsia="Times New Roman" w:cs="Times New Roman"/>
          <w:color w:val="000000"/>
          <w:sz w:val="22"/>
          <w:lang w:eastAsia="en-CA"/>
        </w:rPr>
        <w:footnoteReference w:id="14"/>
      </w:r>
      <w:r w:rsidR="000022C4" w:rsidRPr="00166EC9">
        <w:rPr>
          <w:rFonts w:eastAsia="Times New Roman" w:cs="Times New Roman"/>
          <w:color w:val="000000"/>
          <w:sz w:val="22"/>
          <w:lang w:eastAsia="en-CA"/>
        </w:rPr>
        <w:t xml:space="preserve">. </w:t>
      </w:r>
      <w:r w:rsidRPr="00166EC9">
        <w:rPr>
          <w:rFonts w:eastAsia="Times New Roman" w:cs="Times New Roman"/>
          <w:color w:val="000000"/>
          <w:sz w:val="22"/>
          <w:lang w:eastAsia="en-CA"/>
        </w:rPr>
        <w:t>This leaves Canada’s economy susceptible to market price fluctuations resulting from increased production in the Midwest US region</w:t>
      </w:r>
      <w:r w:rsidR="008B78E7" w:rsidRPr="00166EC9">
        <w:rPr>
          <w:rFonts w:eastAsia="Times New Roman" w:cs="Times New Roman"/>
          <w:color w:val="000000"/>
          <w:sz w:val="22"/>
          <w:lang w:eastAsia="en-CA"/>
        </w:rPr>
        <w:t>, specifically Cushing, Oklahoma</w:t>
      </w:r>
      <w:r w:rsidR="00EC2AF2" w:rsidRPr="00166EC9">
        <w:rPr>
          <w:rFonts w:eastAsia="Times New Roman" w:cs="Times New Roman"/>
          <w:color w:val="000000"/>
          <w:sz w:val="22"/>
          <w:lang w:eastAsia="en-CA"/>
        </w:rPr>
        <w:t>.  Furthermore</w:t>
      </w:r>
      <w:r w:rsidRPr="00166EC9">
        <w:rPr>
          <w:rFonts w:eastAsia="Times New Roman" w:cs="Times New Roman"/>
          <w:color w:val="000000"/>
          <w:sz w:val="22"/>
          <w:lang w:eastAsia="en-CA"/>
        </w:rPr>
        <w:t xml:space="preserve"> it leaves </w:t>
      </w:r>
      <w:r w:rsidRPr="00166EC9">
        <w:rPr>
          <w:rFonts w:eastAsia="Times New Roman" w:cs="Times New Roman"/>
          <w:color w:val="000000"/>
          <w:sz w:val="22"/>
          <w:lang w:eastAsia="en-CA"/>
        </w:rPr>
        <w:lastRenderedPageBreak/>
        <w:t>Canada’s economic fate intrinsically bound to that of the US economy</w:t>
      </w:r>
      <w:r w:rsidR="00A24B24" w:rsidRPr="00166EC9">
        <w:rPr>
          <w:rFonts w:eastAsia="Times New Roman" w:cs="Times New Roman"/>
          <w:color w:val="000000"/>
          <w:sz w:val="22"/>
          <w:lang w:eastAsia="en-CA"/>
        </w:rPr>
        <w:t xml:space="preserve">.  Given recent history this </w:t>
      </w:r>
      <w:r w:rsidRPr="00166EC9">
        <w:rPr>
          <w:rFonts w:eastAsia="Times New Roman" w:cs="Times New Roman"/>
          <w:color w:val="000000"/>
          <w:sz w:val="22"/>
          <w:lang w:eastAsia="en-CA"/>
        </w:rPr>
        <w:t>w</w:t>
      </w:r>
      <w:r w:rsidR="00AA5AC4" w:rsidRPr="00166EC9">
        <w:rPr>
          <w:rFonts w:eastAsia="Times New Roman" w:cs="Times New Roman"/>
          <w:color w:val="000000"/>
          <w:sz w:val="22"/>
          <w:lang w:eastAsia="en-CA"/>
        </w:rPr>
        <w:t>ould prove problematic should the US</w:t>
      </w:r>
      <w:r w:rsidRPr="00166EC9">
        <w:rPr>
          <w:rFonts w:eastAsia="Times New Roman" w:cs="Times New Roman"/>
          <w:color w:val="000000"/>
          <w:sz w:val="22"/>
          <w:lang w:eastAsia="en-CA"/>
        </w:rPr>
        <w:t xml:space="preserve"> suffer another economic collapse.</w:t>
      </w:r>
    </w:p>
    <w:p w:rsidR="00AC3E29" w:rsidRPr="00166EC9" w:rsidRDefault="00AC3E29" w:rsidP="00E80231">
      <w:pPr>
        <w:spacing w:line="480" w:lineRule="auto"/>
        <w:jc w:val="both"/>
        <w:rPr>
          <w:rFonts w:eastAsia="Times New Roman" w:cs="Times New Roman"/>
          <w:sz w:val="22"/>
          <w:lang w:eastAsia="en-CA"/>
        </w:rPr>
      </w:pPr>
    </w:p>
    <w:p w:rsidR="00AC3E29" w:rsidRPr="00C67630" w:rsidRDefault="00921B06" w:rsidP="00E80231">
      <w:pPr>
        <w:spacing w:line="480" w:lineRule="auto"/>
        <w:ind w:firstLine="720"/>
        <w:jc w:val="both"/>
        <w:rPr>
          <w:rFonts w:eastAsia="Times New Roman" w:cs="Times New Roman"/>
          <w:color w:val="000000"/>
          <w:sz w:val="24"/>
          <w:szCs w:val="24"/>
          <w:lang w:eastAsia="en-CA"/>
        </w:rPr>
      </w:pPr>
      <w:r w:rsidRPr="00C67630">
        <w:rPr>
          <w:rFonts w:eastAsia="Times New Roman" w:cs="Times New Roman"/>
          <w:b/>
          <w:bCs/>
          <w:color w:val="000000"/>
          <w:sz w:val="24"/>
          <w:szCs w:val="24"/>
          <w:lang w:eastAsia="en-CA"/>
        </w:rPr>
        <w:t>ii</w:t>
      </w:r>
      <w:r w:rsidR="00AC3E29" w:rsidRPr="00C67630">
        <w:rPr>
          <w:rFonts w:eastAsia="Times New Roman" w:cs="Times New Roman"/>
          <w:b/>
          <w:bCs/>
          <w:color w:val="000000"/>
          <w:sz w:val="24"/>
          <w:szCs w:val="24"/>
          <w:lang w:eastAsia="en-CA"/>
        </w:rPr>
        <w:t>.</w:t>
      </w:r>
      <w:r w:rsidRPr="00C67630">
        <w:rPr>
          <w:rFonts w:eastAsia="Times New Roman" w:cs="Times New Roman"/>
          <w:b/>
          <w:bCs/>
          <w:color w:val="000000"/>
          <w:sz w:val="24"/>
          <w:szCs w:val="24"/>
          <w:lang w:eastAsia="en-CA"/>
        </w:rPr>
        <w:tab/>
      </w:r>
      <w:r w:rsidR="00334117" w:rsidRPr="00C67630">
        <w:rPr>
          <w:rFonts w:eastAsia="Times New Roman" w:cs="Times New Roman"/>
          <w:b/>
          <w:bCs/>
          <w:color w:val="000000"/>
          <w:sz w:val="24"/>
          <w:szCs w:val="24"/>
          <w:lang w:eastAsia="en-CA"/>
        </w:rPr>
        <w:t>No Additional Major Pipeline Projects</w:t>
      </w:r>
    </w:p>
    <w:p w:rsidR="005D66BC" w:rsidRPr="00166EC9" w:rsidRDefault="00857F65" w:rsidP="00E80231">
      <w:pPr>
        <w:spacing w:line="480" w:lineRule="auto"/>
        <w:ind w:firstLine="720"/>
        <w:jc w:val="both"/>
        <w:rPr>
          <w:rFonts w:eastAsia="Times New Roman" w:cs="Times New Roman"/>
          <w:color w:val="000000"/>
          <w:sz w:val="22"/>
          <w:lang w:eastAsia="en-CA"/>
        </w:rPr>
      </w:pPr>
      <w:r w:rsidRPr="00166EC9">
        <w:rPr>
          <w:rFonts w:eastAsia="Times New Roman" w:cs="Times New Roman"/>
          <w:color w:val="000000"/>
          <w:sz w:val="22"/>
          <w:lang w:eastAsia="en-CA"/>
        </w:rPr>
        <w:t>In the scenario that the pipeline is not met with approval</w:t>
      </w:r>
      <w:r w:rsidR="00F401AE">
        <w:rPr>
          <w:rFonts w:eastAsia="Times New Roman" w:cs="Times New Roman"/>
          <w:color w:val="000000"/>
          <w:sz w:val="22"/>
          <w:lang w:eastAsia="en-CA"/>
        </w:rPr>
        <w:t>,</w:t>
      </w:r>
      <w:r w:rsidRPr="00166EC9">
        <w:rPr>
          <w:rFonts w:eastAsia="Times New Roman" w:cs="Times New Roman"/>
          <w:color w:val="000000"/>
          <w:sz w:val="22"/>
          <w:lang w:eastAsia="en-CA"/>
        </w:rPr>
        <w:t xml:space="preserve"> Suncor will lose the infrastructural capacity of an estimated 525,000 barrels shipp</w:t>
      </w:r>
      <w:r w:rsidR="0053467E">
        <w:rPr>
          <w:rFonts w:eastAsia="Times New Roman" w:cs="Times New Roman"/>
          <w:color w:val="000000"/>
          <w:sz w:val="22"/>
          <w:lang w:eastAsia="en-CA"/>
        </w:rPr>
        <w:t>ed per day,</w:t>
      </w:r>
      <w:r w:rsidR="00185D26" w:rsidRPr="00166EC9">
        <w:rPr>
          <w:rFonts w:eastAsia="Times New Roman" w:cs="Times New Roman"/>
          <w:color w:val="000000"/>
          <w:sz w:val="22"/>
          <w:lang w:eastAsia="en-CA"/>
        </w:rPr>
        <w:t xml:space="preserve"> hinder</w:t>
      </w:r>
      <w:r w:rsidR="0053467E">
        <w:rPr>
          <w:rFonts w:eastAsia="Times New Roman" w:cs="Times New Roman"/>
          <w:color w:val="000000"/>
          <w:sz w:val="22"/>
          <w:lang w:eastAsia="en-CA"/>
        </w:rPr>
        <w:t>ing achievement of</w:t>
      </w:r>
      <w:r w:rsidRPr="00166EC9">
        <w:rPr>
          <w:rFonts w:eastAsia="Times New Roman" w:cs="Times New Roman"/>
          <w:color w:val="000000"/>
          <w:sz w:val="22"/>
          <w:lang w:eastAsia="en-CA"/>
        </w:rPr>
        <w:t xml:space="preserve"> Suncor’s 2020 goal of 1 million barrels of oil produced daily.  Canada stands to </w:t>
      </w:r>
      <w:r w:rsidR="008474ED">
        <w:rPr>
          <w:rFonts w:eastAsia="Times New Roman" w:cs="Times New Roman"/>
          <w:color w:val="000000"/>
          <w:sz w:val="22"/>
          <w:lang w:eastAsia="en-CA"/>
        </w:rPr>
        <w:t>possibly lose out on</w:t>
      </w:r>
      <w:r w:rsidR="004B561D">
        <w:rPr>
          <w:rFonts w:eastAsia="Times New Roman" w:cs="Times New Roman"/>
          <w:color w:val="000000"/>
          <w:sz w:val="22"/>
          <w:lang w:eastAsia="en-CA"/>
        </w:rPr>
        <w:t xml:space="preserve"> $400 billion in</w:t>
      </w:r>
      <w:r w:rsidRPr="00166EC9">
        <w:rPr>
          <w:rFonts w:eastAsia="Times New Roman" w:cs="Times New Roman"/>
          <w:color w:val="000000"/>
          <w:sz w:val="22"/>
          <w:lang w:eastAsia="en-CA"/>
        </w:rPr>
        <w:t xml:space="preserve"> GDP and $77 billion in tax revenue over the next twenty five years that could have come as a result of increased oil sand development.  Instead without any additional major pipeline projects</w:t>
      </w:r>
      <w:r w:rsidR="00E1704A">
        <w:rPr>
          <w:rFonts w:eastAsia="Times New Roman" w:cs="Times New Roman"/>
          <w:color w:val="000000"/>
          <w:sz w:val="22"/>
          <w:lang w:eastAsia="en-CA"/>
        </w:rPr>
        <w:t>,</w:t>
      </w:r>
      <w:r w:rsidRPr="00166EC9">
        <w:rPr>
          <w:rFonts w:eastAsia="Times New Roman" w:cs="Times New Roman"/>
          <w:color w:val="000000"/>
          <w:sz w:val="22"/>
          <w:lang w:eastAsia="en-CA"/>
        </w:rPr>
        <w:t xml:space="preserve"> oil sand development will only generate $2.3 billion in terms of C</w:t>
      </w:r>
      <w:r w:rsidR="00A2134C">
        <w:rPr>
          <w:rFonts w:eastAsia="Times New Roman" w:cs="Times New Roman"/>
          <w:color w:val="000000"/>
          <w:sz w:val="22"/>
          <w:lang w:eastAsia="en-CA"/>
        </w:rPr>
        <w:t>anadian GDP within that</w:t>
      </w:r>
      <w:r w:rsidRPr="00166EC9">
        <w:rPr>
          <w:rFonts w:eastAsia="Times New Roman" w:cs="Times New Roman"/>
          <w:color w:val="000000"/>
          <w:sz w:val="22"/>
          <w:lang w:eastAsia="en-CA"/>
        </w:rPr>
        <w:t xml:space="preserve"> period</w:t>
      </w:r>
      <w:r w:rsidR="00763C9E" w:rsidRPr="00166EC9">
        <w:rPr>
          <w:rStyle w:val="FootnoteReference"/>
          <w:rFonts w:eastAsia="Times New Roman" w:cs="Times New Roman"/>
          <w:color w:val="000000"/>
          <w:sz w:val="22"/>
          <w:lang w:eastAsia="en-CA"/>
        </w:rPr>
        <w:footnoteReference w:id="15"/>
      </w:r>
      <w:r w:rsidRPr="00166EC9">
        <w:rPr>
          <w:rFonts w:eastAsia="Times New Roman" w:cs="Times New Roman"/>
          <w:color w:val="000000"/>
          <w:sz w:val="22"/>
          <w:lang w:eastAsia="en-CA"/>
        </w:rPr>
        <w:t>.  The business strategy of relying on existing pipeline systems going forward limits Canada’s possibility of exploration of fo</w:t>
      </w:r>
      <w:r w:rsidR="00EA51C4">
        <w:rPr>
          <w:rFonts w:eastAsia="Times New Roman" w:cs="Times New Roman"/>
          <w:color w:val="000000"/>
          <w:sz w:val="22"/>
          <w:lang w:eastAsia="en-CA"/>
        </w:rPr>
        <w:t>reign markets and fails to</w:t>
      </w:r>
      <w:r w:rsidRPr="00166EC9">
        <w:rPr>
          <w:rFonts w:eastAsia="Times New Roman" w:cs="Times New Roman"/>
          <w:color w:val="000000"/>
          <w:sz w:val="22"/>
          <w:lang w:eastAsia="en-CA"/>
        </w:rPr>
        <w:t xml:space="preserve"> ease Canada’s American dependence; Canada’s economic growth may suffer as a consequence.</w:t>
      </w:r>
    </w:p>
    <w:p w:rsidR="00F7042E" w:rsidRPr="00166EC9" w:rsidRDefault="00857F65" w:rsidP="00E80231">
      <w:pPr>
        <w:spacing w:line="480" w:lineRule="auto"/>
        <w:ind w:firstLine="720"/>
        <w:jc w:val="both"/>
        <w:rPr>
          <w:rFonts w:eastAsia="Times New Roman" w:cs="Times New Roman"/>
          <w:sz w:val="22"/>
          <w:lang w:eastAsia="en-CA"/>
        </w:rPr>
      </w:pPr>
      <w:r w:rsidRPr="00166EC9">
        <w:rPr>
          <w:rFonts w:eastAsia="Times New Roman" w:cs="Times New Roman"/>
          <w:color w:val="000000"/>
          <w:sz w:val="22"/>
          <w:lang w:eastAsia="en-CA"/>
        </w:rPr>
        <w:t>If oil sand production were to continue growing at its current pace</w:t>
      </w:r>
      <w:r w:rsidR="00405473">
        <w:rPr>
          <w:rFonts w:eastAsia="Times New Roman" w:cs="Times New Roman"/>
          <w:color w:val="000000"/>
          <w:sz w:val="22"/>
          <w:lang w:eastAsia="en-CA"/>
        </w:rPr>
        <w:t>,</w:t>
      </w:r>
      <w:r w:rsidRPr="00166EC9">
        <w:rPr>
          <w:rFonts w:eastAsia="Times New Roman" w:cs="Times New Roman"/>
          <w:color w:val="000000"/>
          <w:sz w:val="22"/>
          <w:lang w:eastAsia="en-CA"/>
        </w:rPr>
        <w:t xml:space="preserve"> an alternative to transportation through pipeline would involve railways.  To match the crude oil and refined petroleum product transportation capacity of pipeline projects</w:t>
      </w:r>
      <w:r w:rsidR="00B14DFF">
        <w:rPr>
          <w:rFonts w:eastAsia="Times New Roman" w:cs="Times New Roman"/>
          <w:color w:val="000000"/>
          <w:sz w:val="22"/>
          <w:lang w:eastAsia="en-CA"/>
        </w:rPr>
        <w:t>,</w:t>
      </w:r>
      <w:r w:rsidRPr="00166EC9">
        <w:rPr>
          <w:rFonts w:eastAsia="Times New Roman" w:cs="Times New Roman"/>
          <w:color w:val="000000"/>
          <w:sz w:val="22"/>
          <w:lang w:eastAsia="en-CA"/>
        </w:rPr>
        <w:t xml:space="preserve"> it would require 1500 rail cars a </w:t>
      </w:r>
      <w:r w:rsidRPr="00166EC9">
        <w:rPr>
          <w:rFonts w:eastAsia="Times New Roman" w:cs="Times New Roman"/>
          <w:color w:val="000000"/>
          <w:sz w:val="22"/>
          <w:lang w:eastAsia="en-CA"/>
        </w:rPr>
        <w:lastRenderedPageBreak/>
        <w:t>day</w:t>
      </w:r>
      <w:r w:rsidR="00871A02" w:rsidRPr="00166EC9">
        <w:rPr>
          <w:rStyle w:val="FootnoteReference"/>
          <w:rFonts w:eastAsia="Times New Roman" w:cs="Times New Roman"/>
          <w:color w:val="000000"/>
          <w:sz w:val="22"/>
          <w:lang w:eastAsia="en-CA"/>
        </w:rPr>
        <w:footnoteReference w:id="16"/>
      </w:r>
      <w:r w:rsidRPr="00166EC9">
        <w:rPr>
          <w:rFonts w:eastAsia="Times New Roman" w:cs="Times New Roman"/>
          <w:color w:val="000000"/>
          <w:sz w:val="22"/>
          <w:lang w:eastAsia="en-CA"/>
        </w:rPr>
        <w:t xml:space="preserve">.  While this may seem like a somewhat viable alternative, the carbon emissions generated would be unacceptable for Canada’s emission goals. </w:t>
      </w:r>
    </w:p>
    <w:p w:rsidR="004C4CEE" w:rsidRPr="00C67630" w:rsidRDefault="00857F65" w:rsidP="00E80231">
      <w:pPr>
        <w:spacing w:line="480" w:lineRule="auto"/>
        <w:ind w:left="720"/>
        <w:jc w:val="both"/>
        <w:rPr>
          <w:rFonts w:eastAsia="Times New Roman" w:cs="Times New Roman"/>
          <w:sz w:val="24"/>
          <w:szCs w:val="24"/>
          <w:lang w:eastAsia="en-CA"/>
        </w:rPr>
      </w:pPr>
      <w:r w:rsidRPr="00166EC9">
        <w:rPr>
          <w:rFonts w:eastAsia="Times New Roman" w:cs="Times New Roman"/>
          <w:sz w:val="22"/>
          <w:lang w:eastAsia="en-CA"/>
        </w:rPr>
        <w:br/>
      </w:r>
      <w:r w:rsidR="0051593A" w:rsidRPr="00C67630">
        <w:rPr>
          <w:rFonts w:eastAsia="Times New Roman" w:cs="Times New Roman"/>
          <w:b/>
          <w:bCs/>
          <w:color w:val="000000"/>
          <w:sz w:val="24"/>
          <w:szCs w:val="24"/>
          <w:lang w:eastAsia="en-CA"/>
        </w:rPr>
        <w:t>iii.</w:t>
      </w:r>
      <w:r w:rsidR="0051593A" w:rsidRPr="00C67630">
        <w:rPr>
          <w:rFonts w:eastAsia="Times New Roman" w:cs="Times New Roman"/>
          <w:b/>
          <w:bCs/>
          <w:color w:val="000000"/>
          <w:sz w:val="24"/>
          <w:szCs w:val="24"/>
          <w:lang w:eastAsia="en-CA"/>
        </w:rPr>
        <w:tab/>
      </w:r>
      <w:r w:rsidR="008B3243" w:rsidRPr="00C67630">
        <w:rPr>
          <w:rFonts w:eastAsia="Times New Roman" w:cs="Times New Roman"/>
          <w:b/>
          <w:bCs/>
          <w:color w:val="000000"/>
          <w:sz w:val="24"/>
          <w:szCs w:val="24"/>
          <w:lang w:eastAsia="en-CA"/>
        </w:rPr>
        <w:t>Reapplication for the</w:t>
      </w:r>
      <w:r w:rsidRPr="00C67630">
        <w:rPr>
          <w:rFonts w:eastAsia="Times New Roman" w:cs="Times New Roman"/>
          <w:b/>
          <w:bCs/>
          <w:color w:val="000000"/>
          <w:sz w:val="24"/>
          <w:szCs w:val="24"/>
          <w:lang w:eastAsia="en-CA"/>
        </w:rPr>
        <w:t xml:space="preserve"> TransCanada Keystone XL Pipeline</w:t>
      </w:r>
    </w:p>
    <w:p w:rsidR="009F286D" w:rsidRPr="00166EC9" w:rsidRDefault="00857F65" w:rsidP="00E80231">
      <w:pPr>
        <w:spacing w:line="480" w:lineRule="auto"/>
        <w:ind w:firstLine="720"/>
        <w:jc w:val="both"/>
        <w:rPr>
          <w:rFonts w:eastAsia="Times New Roman" w:cs="Times New Roman"/>
          <w:b/>
          <w:bCs/>
          <w:color w:val="000000"/>
          <w:sz w:val="22"/>
          <w:u w:val="single"/>
          <w:lang w:eastAsia="en-CA"/>
        </w:rPr>
      </w:pPr>
      <w:r w:rsidRPr="00166EC9">
        <w:rPr>
          <w:rFonts w:eastAsia="Times New Roman" w:cs="Times New Roman"/>
          <w:color w:val="000000"/>
          <w:sz w:val="22"/>
          <w:lang w:eastAsia="en-CA"/>
        </w:rPr>
        <w:t>If th</w:t>
      </w:r>
      <w:r w:rsidR="00D0753E">
        <w:rPr>
          <w:rFonts w:eastAsia="Times New Roman" w:cs="Times New Roman"/>
          <w:color w:val="000000"/>
          <w:sz w:val="22"/>
          <w:lang w:eastAsia="en-CA"/>
        </w:rPr>
        <w:t>e initial option of the</w:t>
      </w:r>
      <w:r w:rsidRPr="00166EC9">
        <w:rPr>
          <w:rFonts w:eastAsia="Times New Roman" w:cs="Times New Roman"/>
          <w:color w:val="000000"/>
          <w:sz w:val="22"/>
          <w:lang w:eastAsia="en-CA"/>
        </w:rPr>
        <w:t xml:space="preserve"> Northern Gateway Pipeline is not approved, Suncor would strongly recommend revisiting the proposed TransCanada Keystone XL Pipeline.  The Keystone XL pipeline would expand pipeline transportation capacity of bitumen to the US from its current volume of 700,000 barrels per day to 4.2 million barrels per day</w:t>
      </w:r>
      <w:r w:rsidR="00D43572" w:rsidRPr="00166EC9">
        <w:rPr>
          <w:rStyle w:val="FootnoteReference"/>
          <w:rFonts w:eastAsia="Times New Roman" w:cs="Times New Roman"/>
          <w:color w:val="000000"/>
          <w:sz w:val="22"/>
          <w:lang w:eastAsia="en-CA"/>
        </w:rPr>
        <w:footnoteReference w:id="17"/>
      </w:r>
      <w:r w:rsidRPr="00166EC9">
        <w:rPr>
          <w:rFonts w:eastAsia="Times New Roman" w:cs="Times New Roman"/>
          <w:color w:val="000000"/>
          <w:sz w:val="22"/>
          <w:lang w:eastAsia="en-CA"/>
        </w:rPr>
        <w:t>.</w:t>
      </w:r>
      <w:r w:rsidR="007E769D" w:rsidRPr="00166EC9">
        <w:rPr>
          <w:rFonts w:eastAsia="Times New Roman" w:cs="Times New Roman"/>
          <w:color w:val="000000"/>
          <w:sz w:val="22"/>
          <w:lang w:eastAsia="en-CA"/>
        </w:rPr>
        <w:t xml:space="preserve">  This provides the infrastructural capacity needed to sustain Suncor’s growth as a company</w:t>
      </w:r>
      <w:r w:rsidR="005C6CE7" w:rsidRPr="00166EC9">
        <w:rPr>
          <w:rFonts w:eastAsia="Times New Roman" w:cs="Times New Roman"/>
          <w:color w:val="000000"/>
          <w:sz w:val="22"/>
          <w:lang w:eastAsia="en-CA"/>
        </w:rPr>
        <w:t xml:space="preserve"> allowing for optimal utilization of the oil sands.</w:t>
      </w:r>
      <w:r w:rsidRPr="00166EC9">
        <w:rPr>
          <w:rFonts w:eastAsia="Times New Roman" w:cs="Times New Roman"/>
          <w:color w:val="000000"/>
          <w:sz w:val="22"/>
          <w:lang w:eastAsia="en-CA"/>
        </w:rPr>
        <w:t xml:space="preserve">  The number of jobs created by this proposed project would reach a pea</w:t>
      </w:r>
      <w:r w:rsidR="0041556D">
        <w:rPr>
          <w:rFonts w:eastAsia="Times New Roman" w:cs="Times New Roman"/>
          <w:color w:val="000000"/>
          <w:sz w:val="22"/>
          <w:lang w:eastAsia="en-CA"/>
        </w:rPr>
        <w:t>k of 690,000 jobs while adding</w:t>
      </w:r>
      <w:r w:rsidRPr="00166EC9">
        <w:rPr>
          <w:rFonts w:eastAsia="Times New Roman" w:cs="Times New Roman"/>
          <w:color w:val="000000"/>
          <w:sz w:val="22"/>
          <w:lang w:eastAsia="en-CA"/>
        </w:rPr>
        <w:t xml:space="preserve"> $2.8 trillion in total GDP wit</w:t>
      </w:r>
      <w:r w:rsidR="00F22EA1">
        <w:rPr>
          <w:rFonts w:eastAsia="Times New Roman" w:cs="Times New Roman"/>
          <w:color w:val="000000"/>
          <w:sz w:val="22"/>
          <w:lang w:eastAsia="en-CA"/>
        </w:rPr>
        <w:t xml:space="preserve">hin </w:t>
      </w:r>
      <w:r w:rsidR="00FA0F17" w:rsidRPr="00166EC9">
        <w:rPr>
          <w:rFonts w:eastAsia="Times New Roman" w:cs="Times New Roman"/>
          <w:color w:val="000000"/>
          <w:sz w:val="22"/>
          <w:lang w:eastAsia="en-CA"/>
        </w:rPr>
        <w:t>twenty-five year</w:t>
      </w:r>
      <w:r w:rsidR="000859DB">
        <w:rPr>
          <w:rFonts w:eastAsia="Times New Roman" w:cs="Times New Roman"/>
          <w:color w:val="000000"/>
          <w:sz w:val="22"/>
          <w:lang w:eastAsia="en-CA"/>
        </w:rPr>
        <w:t>s</w:t>
      </w:r>
      <w:r w:rsidR="00104C41" w:rsidRPr="00166EC9">
        <w:rPr>
          <w:rStyle w:val="FootnoteReference"/>
          <w:rFonts w:eastAsia="Times New Roman" w:cs="Times New Roman"/>
          <w:color w:val="000000"/>
          <w:sz w:val="22"/>
          <w:lang w:eastAsia="en-CA"/>
        </w:rPr>
        <w:footnoteReference w:id="18"/>
      </w:r>
      <w:r w:rsidR="00FA0F17" w:rsidRPr="00166EC9">
        <w:rPr>
          <w:rFonts w:eastAsia="Times New Roman" w:cs="Times New Roman"/>
          <w:color w:val="000000"/>
          <w:sz w:val="22"/>
          <w:lang w:eastAsia="en-CA"/>
        </w:rPr>
        <w:t>.</w:t>
      </w:r>
      <w:r w:rsidR="00413EEE" w:rsidRPr="00166EC9">
        <w:rPr>
          <w:rFonts w:eastAsia="Times New Roman" w:cs="Times New Roman"/>
          <w:color w:val="000000"/>
          <w:sz w:val="22"/>
          <w:lang w:eastAsia="en-CA"/>
        </w:rPr>
        <w:t xml:space="preserve"> </w:t>
      </w:r>
      <w:r w:rsidR="006E45CE" w:rsidRPr="00166EC9">
        <w:rPr>
          <w:rFonts w:eastAsia="Times New Roman" w:cs="Times New Roman"/>
          <w:color w:val="000000"/>
          <w:sz w:val="22"/>
          <w:lang w:eastAsia="en-CA"/>
        </w:rPr>
        <w:t xml:space="preserve"> </w:t>
      </w:r>
      <w:r w:rsidRPr="00166EC9">
        <w:rPr>
          <w:rFonts w:eastAsia="Times New Roman" w:cs="Times New Roman"/>
          <w:color w:val="000000"/>
          <w:sz w:val="22"/>
          <w:lang w:eastAsia="en-CA"/>
        </w:rPr>
        <w:t xml:space="preserve">This may be a lucrative option </w:t>
      </w:r>
      <w:r w:rsidR="00411A6B" w:rsidRPr="00166EC9">
        <w:rPr>
          <w:rFonts w:eastAsia="Times New Roman" w:cs="Times New Roman"/>
          <w:color w:val="000000"/>
          <w:sz w:val="22"/>
          <w:lang w:eastAsia="en-CA"/>
        </w:rPr>
        <w:t xml:space="preserve">but </w:t>
      </w:r>
      <w:r w:rsidR="00F46D9D">
        <w:rPr>
          <w:rFonts w:eastAsia="Times New Roman" w:cs="Times New Roman"/>
          <w:color w:val="000000"/>
          <w:sz w:val="22"/>
          <w:lang w:eastAsia="en-CA"/>
        </w:rPr>
        <w:t>it does little in</w:t>
      </w:r>
      <w:r w:rsidRPr="00166EC9">
        <w:rPr>
          <w:rFonts w:eastAsia="Times New Roman" w:cs="Times New Roman"/>
          <w:color w:val="000000"/>
          <w:sz w:val="22"/>
          <w:lang w:eastAsia="en-CA"/>
        </w:rPr>
        <w:t xml:space="preserve"> reducing dependence on the US markets for energy demand</w:t>
      </w:r>
      <w:r w:rsidR="00F73CA2" w:rsidRPr="00166EC9">
        <w:rPr>
          <w:rFonts w:eastAsia="Times New Roman" w:cs="Times New Roman"/>
          <w:color w:val="000000"/>
          <w:sz w:val="22"/>
          <w:lang w:eastAsia="en-CA"/>
        </w:rPr>
        <w:t xml:space="preserve">.  Moreover it </w:t>
      </w:r>
      <w:r w:rsidR="0070370E" w:rsidRPr="00166EC9">
        <w:rPr>
          <w:rFonts w:eastAsia="Times New Roman" w:cs="Times New Roman"/>
          <w:color w:val="000000"/>
          <w:sz w:val="22"/>
          <w:lang w:eastAsia="en-CA"/>
        </w:rPr>
        <w:t>prevents Canada from broadening its international trade presence</w:t>
      </w:r>
      <w:r w:rsidR="005C096B">
        <w:rPr>
          <w:rFonts w:eastAsia="Times New Roman" w:cs="Times New Roman"/>
          <w:color w:val="000000"/>
          <w:sz w:val="22"/>
          <w:lang w:eastAsia="en-CA"/>
        </w:rPr>
        <w:t xml:space="preserve">.  </w:t>
      </w:r>
      <w:r w:rsidR="008C6690" w:rsidRPr="00166EC9">
        <w:rPr>
          <w:rFonts w:eastAsia="Times New Roman" w:cs="Times New Roman"/>
          <w:color w:val="000000"/>
          <w:sz w:val="22"/>
          <w:lang w:eastAsia="en-CA"/>
        </w:rPr>
        <w:t xml:space="preserve"> </w:t>
      </w:r>
      <w:r w:rsidR="005C096B">
        <w:rPr>
          <w:rFonts w:eastAsia="Times New Roman" w:cs="Times New Roman"/>
          <w:color w:val="000000"/>
          <w:sz w:val="22"/>
          <w:lang w:eastAsia="en-CA"/>
        </w:rPr>
        <w:t>N</w:t>
      </w:r>
      <w:r w:rsidR="008C6690" w:rsidRPr="00166EC9">
        <w:rPr>
          <w:rFonts w:eastAsia="Times New Roman" w:cs="Times New Roman"/>
          <w:color w:val="000000"/>
          <w:sz w:val="22"/>
          <w:lang w:eastAsia="en-CA"/>
        </w:rPr>
        <w:t>or</w:t>
      </w:r>
      <w:r w:rsidR="00621ED4" w:rsidRPr="00166EC9">
        <w:rPr>
          <w:rFonts w:eastAsia="Times New Roman" w:cs="Times New Roman"/>
          <w:color w:val="000000"/>
          <w:sz w:val="22"/>
          <w:lang w:eastAsia="en-CA"/>
        </w:rPr>
        <w:t xml:space="preserve"> </w:t>
      </w:r>
      <w:r w:rsidR="005C096B">
        <w:rPr>
          <w:rFonts w:eastAsia="Times New Roman" w:cs="Times New Roman"/>
          <w:color w:val="000000"/>
          <w:sz w:val="22"/>
          <w:lang w:eastAsia="en-CA"/>
        </w:rPr>
        <w:t xml:space="preserve">would it </w:t>
      </w:r>
      <w:r w:rsidR="00621ED4" w:rsidRPr="00166EC9">
        <w:rPr>
          <w:rFonts w:eastAsia="Times New Roman" w:cs="Times New Roman"/>
          <w:color w:val="000000"/>
          <w:sz w:val="22"/>
          <w:lang w:eastAsia="en-CA"/>
        </w:rPr>
        <w:t>allow</w:t>
      </w:r>
      <w:r w:rsidR="008F2B75" w:rsidRPr="00166EC9">
        <w:rPr>
          <w:rFonts w:eastAsia="Times New Roman" w:cs="Times New Roman"/>
          <w:color w:val="000000"/>
          <w:sz w:val="22"/>
          <w:lang w:eastAsia="en-CA"/>
        </w:rPr>
        <w:t xml:space="preserve"> for the capturing of the increased demand for energy world-wide</w:t>
      </w:r>
      <w:r w:rsidR="001507E1">
        <w:rPr>
          <w:rFonts w:eastAsia="Times New Roman" w:cs="Times New Roman"/>
          <w:color w:val="000000"/>
          <w:sz w:val="22"/>
          <w:lang w:eastAsia="en-CA"/>
        </w:rPr>
        <w:t xml:space="preserve"> which proves so economically promising</w:t>
      </w:r>
      <w:r w:rsidRPr="00166EC9">
        <w:rPr>
          <w:rFonts w:eastAsia="Times New Roman" w:cs="Times New Roman"/>
          <w:color w:val="000000"/>
          <w:sz w:val="22"/>
          <w:lang w:eastAsia="en-CA"/>
        </w:rPr>
        <w:t>.</w:t>
      </w:r>
      <w:r w:rsidR="001507E1">
        <w:rPr>
          <w:rFonts w:eastAsia="Times New Roman" w:cs="Times New Roman"/>
          <w:color w:val="000000"/>
          <w:sz w:val="22"/>
          <w:lang w:eastAsia="en-CA"/>
        </w:rPr>
        <w:t xml:space="preserve">  </w:t>
      </w:r>
    </w:p>
    <w:p w:rsidR="009F286D" w:rsidRPr="00166EC9" w:rsidRDefault="009F286D" w:rsidP="00E80231">
      <w:pPr>
        <w:spacing w:line="480" w:lineRule="auto"/>
        <w:jc w:val="both"/>
        <w:rPr>
          <w:rFonts w:eastAsia="Times New Roman" w:cs="Times New Roman"/>
          <w:color w:val="000000"/>
          <w:sz w:val="22"/>
          <w:lang w:eastAsia="en-CA"/>
        </w:rPr>
      </w:pPr>
    </w:p>
    <w:p w:rsidR="00EC7D5E" w:rsidRPr="00166EC9" w:rsidRDefault="00EC7D5E" w:rsidP="00E80231">
      <w:pPr>
        <w:spacing w:line="480" w:lineRule="auto"/>
        <w:jc w:val="both"/>
        <w:rPr>
          <w:rFonts w:eastAsia="Times New Roman" w:cs="Times New Roman"/>
          <w:color w:val="000000"/>
          <w:sz w:val="22"/>
          <w:lang w:eastAsia="en-CA"/>
        </w:rPr>
      </w:pPr>
    </w:p>
    <w:p w:rsidR="007D0579" w:rsidRPr="00166EC9" w:rsidRDefault="007D0579" w:rsidP="00E80231">
      <w:pPr>
        <w:spacing w:line="480" w:lineRule="auto"/>
        <w:jc w:val="both"/>
        <w:rPr>
          <w:rFonts w:eastAsia="Times New Roman" w:cs="Times New Roman"/>
          <w:color w:val="000000"/>
          <w:sz w:val="22"/>
          <w:lang w:eastAsia="en-CA"/>
        </w:rPr>
      </w:pPr>
    </w:p>
    <w:p w:rsidR="007D0579" w:rsidRPr="00166EC9" w:rsidRDefault="007D0579" w:rsidP="00E80231">
      <w:pPr>
        <w:spacing w:line="480" w:lineRule="auto"/>
        <w:jc w:val="both"/>
        <w:rPr>
          <w:rFonts w:eastAsia="Times New Roman" w:cs="Times New Roman"/>
          <w:b/>
          <w:color w:val="000000"/>
          <w:sz w:val="22"/>
          <w:u w:val="single"/>
          <w:lang w:eastAsia="en-CA"/>
        </w:rPr>
      </w:pPr>
    </w:p>
    <w:p w:rsidR="009F286D" w:rsidRPr="00005432" w:rsidRDefault="00005432" w:rsidP="00E80231">
      <w:pPr>
        <w:spacing w:line="480" w:lineRule="auto"/>
        <w:jc w:val="both"/>
        <w:rPr>
          <w:rFonts w:eastAsia="Times New Roman" w:cs="Times New Roman"/>
          <w:b/>
          <w:color w:val="000000"/>
          <w:sz w:val="28"/>
          <w:szCs w:val="28"/>
          <w:lang w:eastAsia="en-CA"/>
        </w:rPr>
      </w:pPr>
      <w:r w:rsidRPr="00005432">
        <w:rPr>
          <w:rFonts w:eastAsia="Times New Roman" w:cs="Times New Roman"/>
          <w:b/>
          <w:color w:val="000000"/>
          <w:sz w:val="28"/>
          <w:szCs w:val="28"/>
          <w:lang w:eastAsia="en-CA"/>
        </w:rPr>
        <w:t>V.</w:t>
      </w:r>
      <w:r w:rsidRPr="00005432">
        <w:rPr>
          <w:rFonts w:eastAsia="Times New Roman" w:cs="Times New Roman"/>
          <w:b/>
          <w:color w:val="000000"/>
          <w:sz w:val="28"/>
          <w:szCs w:val="28"/>
          <w:lang w:eastAsia="en-CA"/>
        </w:rPr>
        <w:tab/>
      </w:r>
      <w:r w:rsidR="007A091F" w:rsidRPr="00005432">
        <w:rPr>
          <w:rFonts w:eastAsia="Times New Roman" w:cs="Times New Roman"/>
          <w:b/>
          <w:color w:val="000000"/>
          <w:sz w:val="28"/>
          <w:szCs w:val="28"/>
          <w:lang w:eastAsia="en-CA"/>
        </w:rPr>
        <w:t>Recommendation</w:t>
      </w:r>
      <w:r w:rsidR="00D570B1">
        <w:rPr>
          <w:rFonts w:eastAsia="Times New Roman" w:cs="Times New Roman"/>
          <w:b/>
          <w:color w:val="000000"/>
          <w:sz w:val="28"/>
          <w:szCs w:val="28"/>
          <w:lang w:eastAsia="en-CA"/>
        </w:rPr>
        <w:t xml:space="preserve"> and Conclusion</w:t>
      </w:r>
    </w:p>
    <w:p w:rsidR="009F286D" w:rsidRPr="00166EC9" w:rsidRDefault="0059221E" w:rsidP="00E80231">
      <w:pPr>
        <w:spacing w:line="480" w:lineRule="auto"/>
        <w:ind w:firstLine="720"/>
        <w:jc w:val="both"/>
        <w:rPr>
          <w:rFonts w:eastAsia="Times New Roman" w:cs="Times New Roman"/>
          <w:color w:val="000000"/>
          <w:sz w:val="22"/>
          <w:lang w:eastAsia="en-CA"/>
        </w:rPr>
      </w:pPr>
      <w:r w:rsidRPr="00166EC9">
        <w:rPr>
          <w:rFonts w:eastAsia="Times New Roman" w:cs="Times New Roman"/>
          <w:color w:val="000000"/>
          <w:sz w:val="22"/>
          <w:lang w:eastAsia="en-CA"/>
        </w:rPr>
        <w:t>After exploration of several options</w:t>
      </w:r>
      <w:r w:rsidR="004432AC" w:rsidRPr="00166EC9">
        <w:rPr>
          <w:rFonts w:eastAsia="Times New Roman" w:cs="Times New Roman"/>
          <w:color w:val="000000"/>
          <w:sz w:val="22"/>
          <w:lang w:eastAsia="en-CA"/>
        </w:rPr>
        <w:t xml:space="preserve"> Suncor finds it in its best interest to </w:t>
      </w:r>
      <w:r w:rsidR="00625E93" w:rsidRPr="00166EC9">
        <w:rPr>
          <w:rFonts w:eastAsia="Times New Roman" w:cs="Times New Roman"/>
          <w:color w:val="000000"/>
          <w:sz w:val="22"/>
          <w:lang w:eastAsia="en-CA"/>
        </w:rPr>
        <w:t>offer</w:t>
      </w:r>
      <w:r w:rsidR="004432AC" w:rsidRPr="00166EC9">
        <w:rPr>
          <w:rFonts w:eastAsia="Times New Roman" w:cs="Times New Roman"/>
          <w:color w:val="000000"/>
          <w:sz w:val="22"/>
          <w:lang w:eastAsia="en-CA"/>
        </w:rPr>
        <w:t xml:space="preserve"> its endorsement to the construction of the Enbridge Northern Gateway Pipeline project.</w:t>
      </w:r>
      <w:r w:rsidR="009F0D83" w:rsidRPr="00166EC9">
        <w:rPr>
          <w:rFonts w:eastAsia="Times New Roman" w:cs="Times New Roman"/>
          <w:color w:val="000000"/>
          <w:sz w:val="22"/>
          <w:lang w:eastAsia="en-CA"/>
        </w:rPr>
        <w:t xml:space="preserve">  </w:t>
      </w:r>
      <w:r w:rsidR="00CE002D" w:rsidRPr="00166EC9">
        <w:rPr>
          <w:rFonts w:eastAsia="Times New Roman" w:cs="Times New Roman"/>
          <w:color w:val="000000"/>
          <w:sz w:val="22"/>
          <w:lang w:eastAsia="en-CA"/>
        </w:rPr>
        <w:t>The approval of this project</w:t>
      </w:r>
      <w:r w:rsidR="00443C9C" w:rsidRPr="00166EC9">
        <w:rPr>
          <w:rFonts w:eastAsia="Times New Roman" w:cs="Times New Roman"/>
          <w:color w:val="000000"/>
          <w:sz w:val="22"/>
          <w:lang w:eastAsia="en-CA"/>
        </w:rPr>
        <w:t xml:space="preserve"> would fulfill </w:t>
      </w:r>
      <w:r w:rsidR="009A7CF7" w:rsidRPr="00166EC9">
        <w:rPr>
          <w:rFonts w:eastAsia="Times New Roman" w:cs="Times New Roman"/>
          <w:color w:val="000000"/>
          <w:sz w:val="22"/>
          <w:lang w:eastAsia="en-CA"/>
        </w:rPr>
        <w:t>the requirements</w:t>
      </w:r>
      <w:r w:rsidR="00492753" w:rsidRPr="00166EC9">
        <w:rPr>
          <w:rFonts w:eastAsia="Times New Roman" w:cs="Times New Roman"/>
          <w:color w:val="000000"/>
          <w:sz w:val="22"/>
          <w:lang w:eastAsia="en-CA"/>
        </w:rPr>
        <w:t xml:space="preserve"> </w:t>
      </w:r>
      <w:r w:rsidR="00181117" w:rsidRPr="00166EC9">
        <w:rPr>
          <w:rFonts w:eastAsia="Times New Roman" w:cs="Times New Roman"/>
          <w:color w:val="000000"/>
          <w:sz w:val="22"/>
          <w:lang w:eastAsia="en-CA"/>
        </w:rPr>
        <w:t xml:space="preserve">necessary </w:t>
      </w:r>
      <w:r w:rsidR="00373E59" w:rsidRPr="00166EC9">
        <w:rPr>
          <w:rFonts w:eastAsia="Times New Roman" w:cs="Times New Roman"/>
          <w:color w:val="000000"/>
          <w:sz w:val="22"/>
          <w:lang w:eastAsia="en-CA"/>
        </w:rPr>
        <w:t>for Suncor’</w:t>
      </w:r>
      <w:r w:rsidR="00FB42A4" w:rsidRPr="00166EC9">
        <w:rPr>
          <w:rFonts w:eastAsia="Times New Roman" w:cs="Times New Roman"/>
          <w:color w:val="000000"/>
          <w:sz w:val="22"/>
          <w:lang w:eastAsia="en-CA"/>
        </w:rPr>
        <w:t>s prosperity and</w:t>
      </w:r>
      <w:r w:rsidR="001370DD" w:rsidRPr="00166EC9">
        <w:rPr>
          <w:rFonts w:eastAsia="Times New Roman" w:cs="Times New Roman"/>
          <w:color w:val="000000"/>
          <w:sz w:val="22"/>
          <w:lang w:eastAsia="en-CA"/>
        </w:rPr>
        <w:t xml:space="preserve"> </w:t>
      </w:r>
      <w:r w:rsidR="00A26562" w:rsidRPr="00166EC9">
        <w:rPr>
          <w:rFonts w:eastAsia="Times New Roman" w:cs="Times New Roman"/>
          <w:color w:val="000000"/>
          <w:sz w:val="22"/>
          <w:lang w:eastAsia="en-CA"/>
        </w:rPr>
        <w:t xml:space="preserve">are imperative to Suncor’s </w:t>
      </w:r>
      <w:r w:rsidR="001A1117" w:rsidRPr="00166EC9">
        <w:rPr>
          <w:rFonts w:eastAsia="Times New Roman" w:cs="Times New Roman"/>
          <w:color w:val="000000"/>
          <w:sz w:val="22"/>
          <w:lang w:eastAsia="en-CA"/>
        </w:rPr>
        <w:t xml:space="preserve">establishment as a </w:t>
      </w:r>
      <w:r w:rsidR="00DF0593" w:rsidRPr="00166EC9">
        <w:rPr>
          <w:rFonts w:eastAsia="Times New Roman" w:cs="Times New Roman"/>
          <w:color w:val="000000"/>
          <w:sz w:val="22"/>
          <w:lang w:eastAsia="en-CA"/>
        </w:rPr>
        <w:t xml:space="preserve">globally competitive </w:t>
      </w:r>
      <w:r w:rsidR="001242C5" w:rsidRPr="00166EC9">
        <w:rPr>
          <w:rFonts w:eastAsia="Times New Roman" w:cs="Times New Roman"/>
          <w:color w:val="000000"/>
          <w:sz w:val="22"/>
          <w:lang w:eastAsia="en-CA"/>
        </w:rPr>
        <w:t>force.</w:t>
      </w:r>
      <w:r w:rsidR="006529FF" w:rsidRPr="00166EC9">
        <w:rPr>
          <w:rFonts w:eastAsia="Times New Roman" w:cs="Times New Roman"/>
          <w:color w:val="000000"/>
          <w:sz w:val="22"/>
          <w:lang w:eastAsia="en-CA"/>
        </w:rPr>
        <w:t xml:space="preserve">  Tied with Suncor’s </w:t>
      </w:r>
      <w:r w:rsidR="006F240A">
        <w:rPr>
          <w:rFonts w:eastAsia="Times New Roman" w:cs="Times New Roman"/>
          <w:color w:val="000000"/>
          <w:sz w:val="22"/>
          <w:lang w:eastAsia="en-CA"/>
        </w:rPr>
        <w:t>arrival onto the international stage</w:t>
      </w:r>
      <w:r w:rsidR="00E47D05" w:rsidRPr="00166EC9">
        <w:rPr>
          <w:rFonts w:eastAsia="Times New Roman" w:cs="Times New Roman"/>
          <w:color w:val="000000"/>
          <w:sz w:val="22"/>
          <w:lang w:eastAsia="en-CA"/>
        </w:rPr>
        <w:t xml:space="preserve"> is Canada’s emergence</w:t>
      </w:r>
      <w:r w:rsidR="00BC66C2" w:rsidRPr="00166EC9">
        <w:rPr>
          <w:rFonts w:eastAsia="Times New Roman" w:cs="Times New Roman"/>
          <w:color w:val="000000"/>
          <w:sz w:val="22"/>
          <w:lang w:eastAsia="en-CA"/>
        </w:rPr>
        <w:t xml:space="preserve"> as a </w:t>
      </w:r>
      <w:r w:rsidR="00862344" w:rsidRPr="00166EC9">
        <w:rPr>
          <w:rFonts w:eastAsia="Times New Roman" w:cs="Times New Roman"/>
          <w:color w:val="000000"/>
          <w:sz w:val="22"/>
          <w:lang w:eastAsia="en-CA"/>
        </w:rPr>
        <w:t xml:space="preserve">premier </w:t>
      </w:r>
      <w:r w:rsidR="00275528" w:rsidRPr="00166EC9">
        <w:rPr>
          <w:rFonts w:eastAsia="Times New Roman" w:cs="Times New Roman"/>
          <w:color w:val="000000"/>
          <w:sz w:val="22"/>
          <w:lang w:eastAsia="en-CA"/>
        </w:rPr>
        <w:t>supplier</w:t>
      </w:r>
      <w:r w:rsidR="00862344" w:rsidRPr="00166EC9">
        <w:rPr>
          <w:rFonts w:eastAsia="Times New Roman" w:cs="Times New Roman"/>
          <w:color w:val="000000"/>
          <w:sz w:val="22"/>
          <w:lang w:eastAsia="en-CA"/>
        </w:rPr>
        <w:t xml:space="preserve"> of reliable, ethically-sourced</w:t>
      </w:r>
      <w:r w:rsidR="00F33E64" w:rsidRPr="00166EC9">
        <w:rPr>
          <w:rFonts w:eastAsia="Times New Roman" w:cs="Times New Roman"/>
          <w:color w:val="000000"/>
          <w:sz w:val="22"/>
          <w:lang w:eastAsia="en-CA"/>
        </w:rPr>
        <w:t xml:space="preserve"> oil</w:t>
      </w:r>
      <w:r w:rsidR="00275528" w:rsidRPr="00166EC9">
        <w:rPr>
          <w:rFonts w:eastAsia="Times New Roman" w:cs="Times New Roman"/>
          <w:color w:val="000000"/>
          <w:sz w:val="22"/>
          <w:lang w:eastAsia="en-CA"/>
        </w:rPr>
        <w:t>.</w:t>
      </w:r>
      <w:r w:rsidR="00671B9B" w:rsidRPr="00166EC9">
        <w:rPr>
          <w:rFonts w:eastAsia="Times New Roman" w:cs="Times New Roman"/>
          <w:color w:val="000000"/>
          <w:sz w:val="22"/>
          <w:lang w:eastAsia="en-CA"/>
        </w:rPr>
        <w:t xml:space="preserve">  </w:t>
      </w:r>
    </w:p>
    <w:p w:rsidR="007965A9" w:rsidRPr="00166EC9" w:rsidRDefault="00E01384" w:rsidP="00E80231">
      <w:pPr>
        <w:spacing w:line="480" w:lineRule="auto"/>
        <w:ind w:firstLine="720"/>
        <w:jc w:val="both"/>
        <w:rPr>
          <w:rFonts w:cs="Times New Roman"/>
          <w:sz w:val="22"/>
        </w:rPr>
      </w:pPr>
      <w:r w:rsidRPr="00166EC9">
        <w:rPr>
          <w:rFonts w:cs="Times New Roman"/>
          <w:sz w:val="22"/>
        </w:rPr>
        <w:t>Additionally on the domestic level</w:t>
      </w:r>
      <w:r w:rsidR="00DD09EA" w:rsidRPr="00166EC9">
        <w:rPr>
          <w:rFonts w:cs="Times New Roman"/>
          <w:sz w:val="22"/>
        </w:rPr>
        <w:t>,</w:t>
      </w:r>
      <w:r w:rsidRPr="00166EC9">
        <w:rPr>
          <w:rFonts w:cs="Times New Roman"/>
          <w:sz w:val="22"/>
        </w:rPr>
        <w:t xml:space="preserve"> </w:t>
      </w:r>
      <w:r w:rsidR="00DD09EA" w:rsidRPr="00166EC9">
        <w:rPr>
          <w:rFonts w:cs="Times New Roman"/>
          <w:sz w:val="22"/>
        </w:rPr>
        <w:t>the Northern Gateway Pipeline</w:t>
      </w:r>
      <w:r w:rsidR="00802973" w:rsidRPr="00166EC9">
        <w:rPr>
          <w:rFonts w:cs="Times New Roman"/>
          <w:sz w:val="22"/>
        </w:rPr>
        <w:t xml:space="preserve"> will generate </w:t>
      </w:r>
      <w:r w:rsidR="00E6348E" w:rsidRPr="00166EC9">
        <w:rPr>
          <w:rFonts w:cs="Times New Roman"/>
          <w:sz w:val="22"/>
        </w:rPr>
        <w:t>ample</w:t>
      </w:r>
      <w:r w:rsidR="00055E12" w:rsidRPr="00166EC9">
        <w:rPr>
          <w:rFonts w:cs="Times New Roman"/>
          <w:sz w:val="22"/>
        </w:rPr>
        <w:t xml:space="preserve"> employment opportunities</w:t>
      </w:r>
      <w:r w:rsidR="00E6348E" w:rsidRPr="00166EC9">
        <w:rPr>
          <w:rFonts w:cs="Times New Roman"/>
          <w:sz w:val="22"/>
        </w:rPr>
        <w:t xml:space="preserve"> for Canadian citizens</w:t>
      </w:r>
      <w:r w:rsidR="009731A0" w:rsidRPr="00166EC9">
        <w:rPr>
          <w:rFonts w:cs="Times New Roman"/>
          <w:sz w:val="22"/>
        </w:rPr>
        <w:t xml:space="preserve"> while allowing Suncor to work towards supporting sustainable communities through</w:t>
      </w:r>
      <w:r w:rsidR="00865640" w:rsidRPr="00166EC9">
        <w:rPr>
          <w:rFonts w:cs="Times New Roman"/>
          <w:sz w:val="22"/>
        </w:rPr>
        <w:t xml:space="preserve"> employee programmes, charitable donations and sponsorships.</w:t>
      </w:r>
      <w:r w:rsidR="003D3269" w:rsidRPr="00166EC9">
        <w:rPr>
          <w:rFonts w:cs="Times New Roman"/>
          <w:sz w:val="22"/>
        </w:rPr>
        <w:t xml:space="preserve">  It is ultimately the priority </w:t>
      </w:r>
      <w:r w:rsidR="00E12969" w:rsidRPr="00166EC9">
        <w:rPr>
          <w:rFonts w:cs="Times New Roman"/>
          <w:sz w:val="22"/>
        </w:rPr>
        <w:t>o</w:t>
      </w:r>
      <w:r w:rsidR="003D3269" w:rsidRPr="00166EC9">
        <w:rPr>
          <w:rFonts w:cs="Times New Roman"/>
          <w:sz w:val="22"/>
        </w:rPr>
        <w:t xml:space="preserve">f Suncor </w:t>
      </w:r>
      <w:r w:rsidR="00E12969" w:rsidRPr="00166EC9">
        <w:rPr>
          <w:rFonts w:cs="Times New Roman"/>
          <w:sz w:val="22"/>
        </w:rPr>
        <w:t xml:space="preserve">to </w:t>
      </w:r>
      <w:r w:rsidR="00DD09EA" w:rsidRPr="00166EC9">
        <w:rPr>
          <w:rFonts w:cs="Times New Roman"/>
          <w:sz w:val="22"/>
        </w:rPr>
        <w:t>support</w:t>
      </w:r>
      <w:r w:rsidR="00B60DA9" w:rsidRPr="00166EC9">
        <w:rPr>
          <w:rFonts w:cs="Times New Roman"/>
          <w:sz w:val="22"/>
        </w:rPr>
        <w:t xml:space="preserve"> projects</w:t>
      </w:r>
      <w:r w:rsidR="00DD09EA" w:rsidRPr="00166EC9">
        <w:rPr>
          <w:rFonts w:cs="Times New Roman"/>
          <w:sz w:val="22"/>
        </w:rPr>
        <w:t xml:space="preserve"> that have the best interests of Canada and its citizens, </w:t>
      </w:r>
      <w:r w:rsidR="002B3965" w:rsidRPr="00166EC9">
        <w:rPr>
          <w:rFonts w:cs="Times New Roman"/>
          <w:sz w:val="22"/>
        </w:rPr>
        <w:t>as</w:t>
      </w:r>
      <w:r w:rsidR="00171D8C" w:rsidRPr="00166EC9">
        <w:rPr>
          <w:rFonts w:cs="Times New Roman"/>
          <w:sz w:val="22"/>
        </w:rPr>
        <w:t xml:space="preserve"> </w:t>
      </w:r>
      <w:r w:rsidR="00DD09EA" w:rsidRPr="00166EC9">
        <w:rPr>
          <w:rFonts w:cs="Times New Roman"/>
          <w:sz w:val="22"/>
        </w:rPr>
        <w:t xml:space="preserve">best </w:t>
      </w:r>
      <w:r w:rsidR="00171D8C" w:rsidRPr="00166EC9">
        <w:rPr>
          <w:rFonts w:cs="Times New Roman"/>
          <w:sz w:val="22"/>
        </w:rPr>
        <w:t>exemplified by</w:t>
      </w:r>
      <w:r w:rsidR="007B313E" w:rsidRPr="00166EC9">
        <w:rPr>
          <w:rFonts w:cs="Times New Roman"/>
          <w:sz w:val="22"/>
        </w:rPr>
        <w:t xml:space="preserve"> the Northern Gateway Pipeline</w:t>
      </w:r>
      <w:r w:rsidR="00DD09EA" w:rsidRPr="00166EC9">
        <w:rPr>
          <w:rFonts w:cs="Times New Roman"/>
          <w:sz w:val="22"/>
        </w:rPr>
        <w:t xml:space="preserve">. </w:t>
      </w:r>
    </w:p>
    <w:p w:rsidR="007965A9" w:rsidRPr="00166EC9" w:rsidRDefault="007965A9" w:rsidP="00E80231">
      <w:pPr>
        <w:spacing w:line="480" w:lineRule="auto"/>
        <w:jc w:val="both"/>
        <w:rPr>
          <w:rFonts w:cs="Times New Roman"/>
          <w:sz w:val="22"/>
        </w:rPr>
      </w:pPr>
    </w:p>
    <w:p w:rsidR="00DA73CD" w:rsidRPr="00166EC9" w:rsidRDefault="00DA73CD" w:rsidP="00E80231">
      <w:pPr>
        <w:spacing w:line="480" w:lineRule="auto"/>
        <w:jc w:val="both"/>
        <w:rPr>
          <w:rFonts w:cs="Times New Roman"/>
          <w:sz w:val="22"/>
        </w:rPr>
      </w:pPr>
    </w:p>
    <w:p w:rsidR="00DA73CD" w:rsidRPr="00166EC9" w:rsidRDefault="00DA73CD" w:rsidP="00E80231">
      <w:pPr>
        <w:spacing w:line="480" w:lineRule="auto"/>
        <w:jc w:val="both"/>
        <w:rPr>
          <w:rFonts w:cs="Times New Roman"/>
          <w:sz w:val="22"/>
        </w:rPr>
      </w:pPr>
    </w:p>
    <w:p w:rsidR="00DA73CD" w:rsidRPr="00166EC9" w:rsidRDefault="00DA73CD" w:rsidP="00E80231">
      <w:pPr>
        <w:spacing w:line="480" w:lineRule="auto"/>
        <w:jc w:val="both"/>
        <w:rPr>
          <w:rFonts w:cs="Times New Roman"/>
          <w:sz w:val="22"/>
        </w:rPr>
      </w:pPr>
    </w:p>
    <w:p w:rsidR="00DA73CD" w:rsidRPr="00166EC9" w:rsidRDefault="00DA73CD" w:rsidP="00E80231">
      <w:pPr>
        <w:spacing w:line="480" w:lineRule="auto"/>
        <w:jc w:val="both"/>
        <w:rPr>
          <w:rFonts w:cs="Times New Roman"/>
          <w:sz w:val="22"/>
        </w:rPr>
      </w:pPr>
    </w:p>
    <w:p w:rsidR="00DA73CD" w:rsidRPr="00166EC9" w:rsidRDefault="00DA73CD" w:rsidP="00E80231">
      <w:pPr>
        <w:spacing w:line="480" w:lineRule="auto"/>
        <w:jc w:val="both"/>
        <w:rPr>
          <w:rFonts w:cs="Times New Roman"/>
          <w:sz w:val="22"/>
        </w:rPr>
      </w:pPr>
    </w:p>
    <w:p w:rsidR="00051994" w:rsidRPr="00166EC9" w:rsidRDefault="00051994" w:rsidP="00E80231">
      <w:pPr>
        <w:spacing w:line="480" w:lineRule="auto"/>
        <w:jc w:val="both"/>
        <w:rPr>
          <w:rFonts w:cs="Times New Roman"/>
          <w:sz w:val="22"/>
        </w:rPr>
      </w:pPr>
    </w:p>
    <w:p w:rsidR="007D0579" w:rsidRPr="00166EC9" w:rsidRDefault="007D0579" w:rsidP="00E80231">
      <w:pPr>
        <w:spacing w:line="480" w:lineRule="auto"/>
        <w:jc w:val="both"/>
        <w:rPr>
          <w:rFonts w:cs="Times New Roman"/>
          <w:sz w:val="22"/>
        </w:rPr>
      </w:pPr>
    </w:p>
    <w:p w:rsidR="00166EC9" w:rsidRDefault="00166EC9" w:rsidP="00E80231">
      <w:pPr>
        <w:spacing w:line="480" w:lineRule="auto"/>
        <w:jc w:val="both"/>
        <w:rPr>
          <w:rFonts w:cs="Times New Roman"/>
          <w:sz w:val="22"/>
        </w:rPr>
      </w:pPr>
    </w:p>
    <w:p w:rsidR="007965A9" w:rsidRPr="00B43C92" w:rsidRDefault="00B43C92" w:rsidP="00E80231">
      <w:pPr>
        <w:spacing w:line="480" w:lineRule="auto"/>
        <w:jc w:val="both"/>
        <w:rPr>
          <w:rFonts w:cs="Times New Roman"/>
          <w:b/>
          <w:sz w:val="28"/>
          <w:szCs w:val="28"/>
        </w:rPr>
      </w:pPr>
      <w:r>
        <w:rPr>
          <w:rFonts w:cs="Times New Roman"/>
          <w:b/>
          <w:sz w:val="28"/>
          <w:szCs w:val="28"/>
        </w:rPr>
        <w:lastRenderedPageBreak/>
        <w:t>Works Cited</w:t>
      </w:r>
    </w:p>
    <w:p w:rsidR="00EA744F" w:rsidRDefault="00D3395D" w:rsidP="00E80231">
      <w:pPr>
        <w:spacing w:line="276" w:lineRule="auto"/>
        <w:jc w:val="both"/>
        <w:rPr>
          <w:rFonts w:cs="Times New Roman"/>
          <w:sz w:val="22"/>
        </w:rPr>
      </w:pPr>
      <w:proofErr w:type="gramStart"/>
      <w:r w:rsidRPr="00166EC9">
        <w:rPr>
          <w:rFonts w:cs="Times New Roman"/>
          <w:sz w:val="22"/>
        </w:rPr>
        <w:t>Department for Transport, Crown.</w:t>
      </w:r>
      <w:proofErr w:type="gramEnd"/>
      <w:r w:rsidRPr="00166EC9">
        <w:rPr>
          <w:rFonts w:cs="Times New Roman"/>
          <w:sz w:val="22"/>
        </w:rPr>
        <w:t xml:space="preserve"> "Carbon and Sustainability Reporting Within the Renewable </w:t>
      </w:r>
    </w:p>
    <w:p w:rsidR="00D3395D" w:rsidRPr="00166EC9" w:rsidRDefault="00D3395D" w:rsidP="00E80231">
      <w:pPr>
        <w:spacing w:line="276" w:lineRule="auto"/>
        <w:ind w:left="720"/>
        <w:jc w:val="both"/>
        <w:rPr>
          <w:rFonts w:cs="Times New Roman"/>
          <w:sz w:val="22"/>
        </w:rPr>
      </w:pPr>
      <w:proofErr w:type="gramStart"/>
      <w:r w:rsidRPr="00166EC9">
        <w:rPr>
          <w:rFonts w:cs="Times New Roman"/>
          <w:sz w:val="22"/>
        </w:rPr>
        <w:t>Transport Fuel Obligation."</w:t>
      </w:r>
      <w:proofErr w:type="gramEnd"/>
      <w:r w:rsidRPr="00166EC9">
        <w:rPr>
          <w:rFonts w:cs="Times New Roman"/>
          <w:sz w:val="22"/>
        </w:rPr>
        <w:t xml:space="preserve"> </w:t>
      </w:r>
      <w:proofErr w:type="gramStart"/>
      <w:r w:rsidRPr="00166EC9">
        <w:rPr>
          <w:rStyle w:val="Emphasis"/>
          <w:rFonts w:cs="Times New Roman"/>
          <w:sz w:val="22"/>
        </w:rPr>
        <w:t>Government Recommendation to the Office of the Renewable Fuels Agency</w:t>
      </w:r>
      <w:r w:rsidRPr="00166EC9">
        <w:rPr>
          <w:rFonts w:cs="Times New Roman"/>
          <w:sz w:val="22"/>
        </w:rPr>
        <w:t>.</w:t>
      </w:r>
      <w:proofErr w:type="gramEnd"/>
      <w:r w:rsidRPr="00166EC9">
        <w:rPr>
          <w:rFonts w:cs="Times New Roman"/>
          <w:sz w:val="22"/>
        </w:rPr>
        <w:t xml:space="preserve"> </w:t>
      </w:r>
      <w:proofErr w:type="gramStart"/>
      <w:r w:rsidRPr="00166EC9">
        <w:rPr>
          <w:rFonts w:cs="Times New Roman"/>
          <w:sz w:val="22"/>
        </w:rPr>
        <w:t>no</w:t>
      </w:r>
      <w:proofErr w:type="gramEnd"/>
      <w:r w:rsidRPr="00166EC9">
        <w:rPr>
          <w:rFonts w:cs="Times New Roman"/>
          <w:sz w:val="22"/>
        </w:rPr>
        <w:t xml:space="preserve">. </w:t>
      </w:r>
      <w:proofErr w:type="gramStart"/>
      <w:r w:rsidRPr="00166EC9">
        <w:rPr>
          <w:rFonts w:cs="Times New Roman"/>
          <w:sz w:val="22"/>
        </w:rPr>
        <w:t>Jan (2008).</w:t>
      </w:r>
      <w:proofErr w:type="gramEnd"/>
      <w:r w:rsidRPr="00166EC9">
        <w:rPr>
          <w:rFonts w:cs="Times New Roman"/>
          <w:sz w:val="22"/>
        </w:rPr>
        <w:t xml:space="preserve"> http://webarchive.nationalarchives.gov.uk/ /http://www.dft.gov.uk/pgr/roads/environment/rtfo/govrecrfa.pdf (accessed March 21, 2012).</w:t>
      </w:r>
    </w:p>
    <w:p w:rsidR="00D3395D" w:rsidRPr="00166EC9" w:rsidRDefault="00D3395D" w:rsidP="00E80231">
      <w:pPr>
        <w:spacing w:line="276" w:lineRule="auto"/>
        <w:jc w:val="both"/>
        <w:rPr>
          <w:rFonts w:cs="Times New Roman"/>
          <w:sz w:val="22"/>
        </w:rPr>
      </w:pPr>
    </w:p>
    <w:p w:rsidR="004A40E7" w:rsidRDefault="00A056DD" w:rsidP="00E80231">
      <w:pPr>
        <w:spacing w:line="276" w:lineRule="auto"/>
        <w:jc w:val="both"/>
        <w:rPr>
          <w:rFonts w:cs="Times New Roman"/>
          <w:sz w:val="22"/>
        </w:rPr>
      </w:pPr>
      <w:proofErr w:type="spellStart"/>
      <w:proofErr w:type="gramStart"/>
      <w:r w:rsidRPr="00166EC9">
        <w:rPr>
          <w:rFonts w:cs="Times New Roman"/>
          <w:sz w:val="22"/>
        </w:rPr>
        <w:t>Honarvar</w:t>
      </w:r>
      <w:proofErr w:type="spellEnd"/>
      <w:r w:rsidRPr="00166EC9">
        <w:rPr>
          <w:rFonts w:cs="Times New Roman"/>
          <w:sz w:val="22"/>
        </w:rPr>
        <w:t xml:space="preserve">, </w:t>
      </w:r>
      <w:proofErr w:type="spellStart"/>
      <w:r w:rsidRPr="00166EC9">
        <w:rPr>
          <w:rFonts w:cs="Times New Roman"/>
          <w:sz w:val="22"/>
        </w:rPr>
        <w:t>Afshin</w:t>
      </w:r>
      <w:proofErr w:type="spellEnd"/>
      <w:r w:rsidRPr="00166EC9">
        <w:rPr>
          <w:rFonts w:cs="Times New Roman"/>
          <w:sz w:val="22"/>
        </w:rPr>
        <w:t xml:space="preserve">, </w:t>
      </w:r>
      <w:proofErr w:type="spellStart"/>
      <w:r w:rsidRPr="00166EC9">
        <w:rPr>
          <w:rFonts w:cs="Times New Roman"/>
          <w:sz w:val="22"/>
        </w:rPr>
        <w:t>Dinara</w:t>
      </w:r>
      <w:proofErr w:type="spellEnd"/>
      <w:r w:rsidRPr="00166EC9">
        <w:rPr>
          <w:rFonts w:cs="Times New Roman"/>
          <w:sz w:val="22"/>
        </w:rPr>
        <w:t xml:space="preserve"> Millington, Jon </w:t>
      </w:r>
      <w:proofErr w:type="spellStart"/>
      <w:r w:rsidRPr="00166EC9">
        <w:rPr>
          <w:rFonts w:cs="Times New Roman"/>
          <w:sz w:val="22"/>
        </w:rPr>
        <w:t>Rozhon</w:t>
      </w:r>
      <w:proofErr w:type="spellEnd"/>
      <w:r w:rsidRPr="00166EC9">
        <w:rPr>
          <w:rFonts w:cs="Times New Roman"/>
          <w:sz w:val="22"/>
        </w:rPr>
        <w:t>, Thorn Walden, and Carlos A. Murillo.</w:t>
      </w:r>
      <w:proofErr w:type="gramEnd"/>
      <w:r w:rsidRPr="00166EC9">
        <w:rPr>
          <w:rFonts w:cs="Times New Roman"/>
          <w:sz w:val="22"/>
        </w:rPr>
        <w:t xml:space="preserve"> </w:t>
      </w:r>
    </w:p>
    <w:p w:rsidR="00A056DD" w:rsidRPr="00166EC9" w:rsidRDefault="00A056DD" w:rsidP="00E80231">
      <w:pPr>
        <w:spacing w:line="276" w:lineRule="auto"/>
        <w:ind w:left="720"/>
        <w:jc w:val="both"/>
        <w:rPr>
          <w:rFonts w:cs="Times New Roman"/>
          <w:sz w:val="22"/>
        </w:rPr>
      </w:pPr>
      <w:r w:rsidRPr="00166EC9">
        <w:rPr>
          <w:rFonts w:cs="Times New Roman"/>
          <w:sz w:val="22"/>
        </w:rPr>
        <w:t>Canadian Energy Research Institute, "</w:t>
      </w:r>
      <w:proofErr w:type="spellStart"/>
      <w:r w:rsidRPr="00166EC9">
        <w:rPr>
          <w:rFonts w:cs="Times New Roman"/>
          <w:sz w:val="22"/>
        </w:rPr>
        <w:t>Ecconomic</w:t>
      </w:r>
      <w:proofErr w:type="spellEnd"/>
      <w:r w:rsidRPr="00166EC9">
        <w:rPr>
          <w:rFonts w:cs="Times New Roman"/>
          <w:sz w:val="22"/>
        </w:rPr>
        <w:t xml:space="preserve"> Impacts of Staged Development of Oil Sands Projects in Alberta </w:t>
      </w:r>
      <w:r w:rsidR="00FE1090" w:rsidRPr="00166EC9">
        <w:rPr>
          <w:rFonts w:cs="Times New Roman"/>
          <w:sz w:val="22"/>
        </w:rPr>
        <w:t xml:space="preserve">(2010-2035)." </w:t>
      </w:r>
      <w:r w:rsidRPr="00166EC9">
        <w:rPr>
          <w:rFonts w:cs="Times New Roman"/>
          <w:sz w:val="22"/>
        </w:rPr>
        <w:t xml:space="preserve">June, 2011. </w:t>
      </w:r>
      <w:proofErr w:type="gramStart"/>
      <w:r w:rsidRPr="00166EC9">
        <w:rPr>
          <w:rFonts w:cs="Times New Roman"/>
          <w:sz w:val="22"/>
        </w:rPr>
        <w:t>Accessed March 21, 2012.</w:t>
      </w:r>
      <w:proofErr w:type="gramEnd"/>
      <w:r w:rsidRPr="00166EC9">
        <w:rPr>
          <w:rFonts w:cs="Times New Roman"/>
          <w:sz w:val="22"/>
        </w:rPr>
        <w:t xml:space="preserve"> http://www.ceri.ca/images/stories/2011-08-24_CERI_Study_125_Section_1.pdf.</w:t>
      </w:r>
    </w:p>
    <w:p w:rsidR="000022C4" w:rsidRPr="00166EC9" w:rsidRDefault="000022C4" w:rsidP="00E80231">
      <w:pPr>
        <w:spacing w:line="276" w:lineRule="auto"/>
        <w:jc w:val="both"/>
        <w:rPr>
          <w:rFonts w:cs="Times New Roman"/>
          <w:sz w:val="22"/>
        </w:rPr>
      </w:pPr>
    </w:p>
    <w:p w:rsidR="00D1588A" w:rsidRDefault="000022C4" w:rsidP="00E80231">
      <w:pPr>
        <w:spacing w:line="276" w:lineRule="auto"/>
        <w:jc w:val="both"/>
        <w:rPr>
          <w:rFonts w:cs="Times New Roman"/>
          <w:sz w:val="22"/>
        </w:rPr>
      </w:pPr>
      <w:r w:rsidRPr="00166EC9">
        <w:rPr>
          <w:rFonts w:cs="Times New Roman"/>
          <w:sz w:val="22"/>
        </w:rPr>
        <w:t>Oil Sands Truth, "</w:t>
      </w:r>
      <w:proofErr w:type="spellStart"/>
      <w:r w:rsidRPr="00166EC9">
        <w:rPr>
          <w:rFonts w:cs="Times New Roman"/>
          <w:sz w:val="22"/>
        </w:rPr>
        <w:t>Factbox</w:t>
      </w:r>
      <w:proofErr w:type="gramStart"/>
      <w:r w:rsidRPr="00166EC9">
        <w:rPr>
          <w:rFonts w:cs="Times New Roman"/>
          <w:sz w:val="22"/>
        </w:rPr>
        <w:t>:Enbridge</w:t>
      </w:r>
      <w:proofErr w:type="spellEnd"/>
      <w:proofErr w:type="gramEnd"/>
      <w:r w:rsidRPr="00166EC9">
        <w:rPr>
          <w:rFonts w:cs="Times New Roman"/>
          <w:sz w:val="22"/>
        </w:rPr>
        <w:t xml:space="preserve"> Pipeline to the Pacific: Facts and Issues." Last modified </w:t>
      </w:r>
    </w:p>
    <w:p w:rsidR="00A056DD" w:rsidRPr="00166EC9" w:rsidRDefault="000022C4" w:rsidP="00E80231">
      <w:pPr>
        <w:spacing w:line="276" w:lineRule="auto"/>
        <w:ind w:left="720"/>
        <w:jc w:val="both"/>
        <w:rPr>
          <w:rFonts w:cs="Times New Roman"/>
          <w:sz w:val="22"/>
        </w:rPr>
      </w:pPr>
      <w:r w:rsidRPr="00166EC9">
        <w:rPr>
          <w:rFonts w:cs="Times New Roman"/>
          <w:sz w:val="22"/>
        </w:rPr>
        <w:t xml:space="preserve">Jan 30, 2012. Accessed March 21, 2012. </w:t>
      </w:r>
      <w:r w:rsidR="00D1588A" w:rsidRPr="004A40E7">
        <w:rPr>
          <w:rFonts w:cs="Times New Roman"/>
          <w:sz w:val="22"/>
        </w:rPr>
        <w:t>http://oilsandstruth.org/factbox-enbridge-</w:t>
      </w:r>
      <w:r w:rsidRPr="00166EC9">
        <w:rPr>
          <w:rFonts w:cs="Times New Roman"/>
          <w:sz w:val="22"/>
        </w:rPr>
        <w:t>pipeline-pacific-facts-and-issues.</w:t>
      </w:r>
    </w:p>
    <w:p w:rsidR="000022C4" w:rsidRPr="00166EC9" w:rsidRDefault="000022C4" w:rsidP="00E80231">
      <w:pPr>
        <w:spacing w:line="276" w:lineRule="auto"/>
        <w:jc w:val="both"/>
        <w:rPr>
          <w:rFonts w:cs="Times New Roman"/>
          <w:sz w:val="22"/>
        </w:rPr>
      </w:pPr>
    </w:p>
    <w:p w:rsidR="00C866F1" w:rsidRPr="00166EC9" w:rsidRDefault="00C866F1" w:rsidP="00E80231">
      <w:pPr>
        <w:spacing w:line="276" w:lineRule="auto"/>
        <w:jc w:val="both"/>
        <w:rPr>
          <w:rFonts w:cs="Times New Roman"/>
          <w:sz w:val="22"/>
        </w:rPr>
      </w:pPr>
      <w:proofErr w:type="spellStart"/>
      <w:r w:rsidRPr="00166EC9">
        <w:rPr>
          <w:rFonts w:cs="Times New Roman"/>
          <w:sz w:val="22"/>
        </w:rPr>
        <w:t>Penty</w:t>
      </w:r>
      <w:proofErr w:type="spellEnd"/>
      <w:r w:rsidRPr="00166EC9">
        <w:rPr>
          <w:rFonts w:cs="Times New Roman"/>
          <w:sz w:val="22"/>
        </w:rPr>
        <w:t xml:space="preserve">, Rebecca. "Alberta Urged to Plan for Chinese Market." </w:t>
      </w:r>
      <w:r w:rsidRPr="00166EC9">
        <w:rPr>
          <w:rFonts w:cs="Times New Roman"/>
          <w:i/>
          <w:iCs/>
          <w:sz w:val="22"/>
        </w:rPr>
        <w:t>Calgary Herald,</w:t>
      </w:r>
      <w:r w:rsidRPr="00166EC9">
        <w:rPr>
          <w:rFonts w:cs="Times New Roman"/>
          <w:sz w:val="22"/>
        </w:rPr>
        <w:t xml:space="preserve"> Jan 24, 2012, </w:t>
      </w:r>
    </w:p>
    <w:p w:rsidR="007965A9" w:rsidRPr="00166EC9" w:rsidRDefault="00C866F1" w:rsidP="00E80231">
      <w:pPr>
        <w:spacing w:line="276" w:lineRule="auto"/>
        <w:ind w:left="720"/>
        <w:jc w:val="both"/>
        <w:rPr>
          <w:rFonts w:cs="Times New Roman"/>
          <w:sz w:val="22"/>
        </w:rPr>
      </w:pPr>
      <w:r w:rsidRPr="00166EC9">
        <w:rPr>
          <w:rFonts w:cs="Times New Roman"/>
          <w:sz w:val="22"/>
        </w:rPr>
        <w:t>http://ezproxy.library.ubc.ca/login?url=http://search.proquest.com/docview/917991840?accountid=14656 (accessed March 21, 2012).</w:t>
      </w:r>
    </w:p>
    <w:p w:rsidR="007A0BCF" w:rsidRPr="00166EC9" w:rsidRDefault="007A0BCF" w:rsidP="00E80231">
      <w:pPr>
        <w:spacing w:line="276" w:lineRule="auto"/>
        <w:jc w:val="both"/>
        <w:rPr>
          <w:rFonts w:cs="Times New Roman"/>
          <w:sz w:val="22"/>
        </w:rPr>
      </w:pPr>
    </w:p>
    <w:p w:rsidR="00B105DD" w:rsidRPr="00166EC9" w:rsidRDefault="00E41501" w:rsidP="00E80231">
      <w:pPr>
        <w:spacing w:line="276" w:lineRule="auto"/>
        <w:jc w:val="both"/>
        <w:rPr>
          <w:rFonts w:cs="Times New Roman"/>
          <w:sz w:val="22"/>
        </w:rPr>
      </w:pPr>
      <w:r w:rsidRPr="00166EC9">
        <w:rPr>
          <w:rFonts w:cs="Times New Roman"/>
          <w:sz w:val="22"/>
        </w:rPr>
        <w:t>Suncor</w:t>
      </w:r>
      <w:r w:rsidR="00B105DD" w:rsidRPr="00166EC9">
        <w:rPr>
          <w:rFonts w:cs="Times New Roman"/>
          <w:sz w:val="22"/>
        </w:rPr>
        <w:t xml:space="preserve"> Energy Inc</w:t>
      </w:r>
      <w:r w:rsidR="007965A9" w:rsidRPr="00166EC9">
        <w:rPr>
          <w:rFonts w:cs="Times New Roman"/>
          <w:sz w:val="22"/>
        </w:rPr>
        <w:t>. "If not pipelines, then what</w:t>
      </w:r>
      <w:proofErr w:type="gramStart"/>
      <w:r w:rsidR="007965A9" w:rsidRPr="00166EC9">
        <w:rPr>
          <w:rFonts w:cs="Times New Roman"/>
          <w:sz w:val="22"/>
        </w:rPr>
        <w:t>?.</w:t>
      </w:r>
      <w:proofErr w:type="gramEnd"/>
      <w:r w:rsidR="007965A9" w:rsidRPr="00166EC9">
        <w:rPr>
          <w:rFonts w:cs="Times New Roman"/>
          <w:sz w:val="22"/>
        </w:rPr>
        <w:t xml:space="preserve">" </w:t>
      </w:r>
      <w:r w:rsidR="007965A9" w:rsidRPr="00166EC9">
        <w:rPr>
          <w:rStyle w:val="Emphasis"/>
          <w:rFonts w:cs="Times New Roman"/>
          <w:sz w:val="22"/>
        </w:rPr>
        <w:t>Oil Sands Question and Response</w:t>
      </w:r>
      <w:r w:rsidR="007965A9" w:rsidRPr="00166EC9">
        <w:rPr>
          <w:rFonts w:cs="Times New Roman"/>
          <w:sz w:val="22"/>
        </w:rPr>
        <w:t xml:space="preserve"> (blog), Feb </w:t>
      </w:r>
    </w:p>
    <w:p w:rsidR="007965A9" w:rsidRPr="00166EC9" w:rsidRDefault="007965A9" w:rsidP="00E80231">
      <w:pPr>
        <w:spacing w:line="276" w:lineRule="auto"/>
        <w:ind w:left="720"/>
        <w:jc w:val="both"/>
        <w:rPr>
          <w:rFonts w:cs="Times New Roman"/>
          <w:sz w:val="22"/>
        </w:rPr>
      </w:pPr>
      <w:proofErr w:type="gramStart"/>
      <w:r w:rsidRPr="00166EC9">
        <w:rPr>
          <w:rFonts w:cs="Times New Roman"/>
          <w:sz w:val="22"/>
        </w:rPr>
        <w:t>09, 2011.</w:t>
      </w:r>
      <w:proofErr w:type="gramEnd"/>
      <w:r w:rsidRPr="00166EC9">
        <w:rPr>
          <w:rFonts w:cs="Times New Roman"/>
          <w:sz w:val="22"/>
        </w:rPr>
        <w:t xml:space="preserve"> http://osqar.suncor.com/2011/02/if-not-pipelines-then-what.html (accessed Feb 1, 2012).</w:t>
      </w:r>
    </w:p>
    <w:p w:rsidR="000417C3" w:rsidRPr="00166EC9" w:rsidRDefault="000417C3" w:rsidP="00E80231">
      <w:pPr>
        <w:spacing w:line="276" w:lineRule="auto"/>
        <w:ind w:firstLine="720"/>
        <w:jc w:val="both"/>
        <w:rPr>
          <w:rFonts w:cs="Times New Roman"/>
          <w:sz w:val="22"/>
        </w:rPr>
      </w:pPr>
    </w:p>
    <w:p w:rsidR="000417C3" w:rsidRPr="00166EC9" w:rsidRDefault="00E41501" w:rsidP="00E80231">
      <w:pPr>
        <w:spacing w:line="276" w:lineRule="auto"/>
        <w:jc w:val="both"/>
        <w:rPr>
          <w:rFonts w:cs="Times New Roman"/>
          <w:sz w:val="22"/>
        </w:rPr>
      </w:pPr>
      <w:proofErr w:type="gramStart"/>
      <w:r w:rsidRPr="00166EC9">
        <w:rPr>
          <w:rFonts w:cs="Times New Roman"/>
          <w:sz w:val="22"/>
        </w:rPr>
        <w:t>Suncor</w:t>
      </w:r>
      <w:r w:rsidR="00D06904" w:rsidRPr="00166EC9">
        <w:rPr>
          <w:rFonts w:cs="Times New Roman"/>
          <w:sz w:val="22"/>
        </w:rPr>
        <w:t xml:space="preserve"> Energy Inc</w:t>
      </w:r>
      <w:r w:rsidR="000417C3" w:rsidRPr="00166EC9">
        <w:rPr>
          <w:rFonts w:cs="Times New Roman"/>
          <w:sz w:val="22"/>
        </w:rPr>
        <w:t>. "2011 Report on Sustainability."</w:t>
      </w:r>
      <w:proofErr w:type="gramEnd"/>
      <w:r w:rsidR="00D82EFF" w:rsidRPr="00166EC9">
        <w:rPr>
          <w:rFonts w:cs="Times New Roman"/>
          <w:i/>
          <w:sz w:val="22"/>
        </w:rPr>
        <w:t xml:space="preserve">Suncor Company </w:t>
      </w:r>
      <w:proofErr w:type="gramStart"/>
      <w:r w:rsidR="00D82EFF" w:rsidRPr="00166EC9">
        <w:rPr>
          <w:rFonts w:cs="Times New Roman"/>
          <w:i/>
          <w:sz w:val="22"/>
        </w:rPr>
        <w:t>Website</w:t>
      </w:r>
      <w:r w:rsidR="000417C3" w:rsidRPr="00166EC9">
        <w:rPr>
          <w:rFonts w:cs="Times New Roman"/>
          <w:sz w:val="22"/>
        </w:rPr>
        <w:t xml:space="preserve"> .</w:t>
      </w:r>
      <w:proofErr w:type="gramEnd"/>
      <w:r w:rsidR="000417C3" w:rsidRPr="00166EC9">
        <w:rPr>
          <w:rFonts w:cs="Times New Roman"/>
          <w:sz w:val="22"/>
        </w:rPr>
        <w:t xml:space="preserve"> </w:t>
      </w:r>
    </w:p>
    <w:p w:rsidR="000417C3" w:rsidRPr="00166EC9" w:rsidRDefault="000417C3" w:rsidP="00E80231">
      <w:pPr>
        <w:spacing w:line="276" w:lineRule="auto"/>
        <w:ind w:left="720"/>
        <w:jc w:val="both"/>
        <w:rPr>
          <w:rFonts w:cs="Times New Roman"/>
          <w:sz w:val="22"/>
        </w:rPr>
      </w:pPr>
      <w:r w:rsidRPr="00166EC9">
        <w:rPr>
          <w:rFonts w:cs="Times New Roman"/>
          <w:sz w:val="22"/>
        </w:rPr>
        <w:t>http://sustainability.suncor.com/2011/pdf/ROS11_E_Final_July14.pdf (accessed February 1, 2012).</w:t>
      </w:r>
    </w:p>
    <w:p w:rsidR="00C72161" w:rsidRPr="00166EC9" w:rsidRDefault="00C72161" w:rsidP="00E80231">
      <w:pPr>
        <w:spacing w:line="276" w:lineRule="auto"/>
        <w:ind w:left="720"/>
        <w:jc w:val="both"/>
        <w:rPr>
          <w:rFonts w:cs="Times New Roman"/>
          <w:sz w:val="22"/>
        </w:rPr>
      </w:pPr>
    </w:p>
    <w:p w:rsidR="00493380" w:rsidRDefault="00C72161" w:rsidP="00E80231">
      <w:pPr>
        <w:spacing w:line="276" w:lineRule="auto"/>
        <w:jc w:val="both"/>
        <w:rPr>
          <w:rFonts w:cs="Times New Roman"/>
          <w:sz w:val="22"/>
        </w:rPr>
      </w:pPr>
      <w:r w:rsidRPr="00166EC9">
        <w:rPr>
          <w:rFonts w:cs="Times New Roman"/>
          <w:sz w:val="22"/>
        </w:rPr>
        <w:t xml:space="preserve">Suncor Energy Inc., </w:t>
      </w:r>
      <w:r w:rsidR="003E744F" w:rsidRPr="00166EC9">
        <w:rPr>
          <w:rFonts w:cs="Times New Roman"/>
          <w:sz w:val="22"/>
        </w:rPr>
        <w:t>Harding, Anne</w:t>
      </w:r>
      <w:r w:rsidRPr="00166EC9">
        <w:rPr>
          <w:rFonts w:cs="Times New Roman"/>
          <w:sz w:val="22"/>
        </w:rPr>
        <w:t xml:space="preserve">. "Aboriginal-corporate collaborations: ingredients for </w:t>
      </w:r>
    </w:p>
    <w:p w:rsidR="00C72161" w:rsidRPr="00166EC9" w:rsidRDefault="00C72161" w:rsidP="00E80231">
      <w:pPr>
        <w:spacing w:line="276" w:lineRule="auto"/>
        <w:ind w:left="720"/>
        <w:jc w:val="both"/>
        <w:rPr>
          <w:rFonts w:cs="Times New Roman"/>
          <w:i/>
          <w:iCs/>
          <w:sz w:val="22"/>
        </w:rPr>
      </w:pPr>
      <w:proofErr w:type="gramStart"/>
      <w:r w:rsidRPr="00166EC9">
        <w:rPr>
          <w:rFonts w:cs="Times New Roman"/>
          <w:sz w:val="22"/>
        </w:rPr>
        <w:t>success</w:t>
      </w:r>
      <w:proofErr w:type="gramEnd"/>
      <w:r w:rsidRPr="00166EC9">
        <w:rPr>
          <w:rFonts w:cs="Times New Roman"/>
          <w:sz w:val="22"/>
        </w:rPr>
        <w:t xml:space="preserve">." </w:t>
      </w:r>
      <w:proofErr w:type="gramStart"/>
      <w:r w:rsidRPr="00166EC9">
        <w:rPr>
          <w:rStyle w:val="Emphasis"/>
          <w:rFonts w:cs="Times New Roman"/>
          <w:sz w:val="22"/>
        </w:rPr>
        <w:t>Oil Sands Question and Response</w:t>
      </w:r>
      <w:r w:rsidR="00996DD0" w:rsidRPr="00166EC9">
        <w:rPr>
          <w:rFonts w:cs="Times New Roman"/>
          <w:sz w:val="22"/>
        </w:rPr>
        <w:t xml:space="preserve"> (blog), Feb 22, 2012.</w:t>
      </w:r>
      <w:r w:rsidRPr="00166EC9">
        <w:rPr>
          <w:rFonts w:cs="Times New Roman"/>
          <w:sz w:val="22"/>
        </w:rPr>
        <w:t>http://osqar.suncor.com/2012/02/aboriginal-corporate-collaborations-ingredients-for-success.html (accessed March 5, 2012).</w:t>
      </w:r>
      <w:proofErr w:type="gramEnd"/>
    </w:p>
    <w:sectPr w:rsidR="00C72161" w:rsidRPr="00166EC9" w:rsidSect="0097745B">
      <w:headerReference w:type="default" r:id="rId9"/>
      <w:footerReference w:type="default" r:id="rId10"/>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2CE" w:rsidRDefault="008C22CE" w:rsidP="00F55F51">
      <w:r>
        <w:separator/>
      </w:r>
    </w:p>
  </w:endnote>
  <w:endnote w:type="continuationSeparator" w:id="0">
    <w:p w:rsidR="008C22CE" w:rsidRDefault="008C22CE" w:rsidP="00F55F51">
      <w:r>
        <w:continuationSeparator/>
      </w:r>
    </w:p>
  </w:endnote>
</w:endnotes>
</file>

<file path=word/fontTable.xml><?xml version="1.0" encoding="utf-8"?>
<w:fonts xmlns:r="http://schemas.openxmlformats.org/officeDocument/2006/relationships" xmlns:w="http://schemas.openxmlformats.org/wordprocessingml/2006/main">
  <w:font w:name="Helvetica CE 55 Roman">
    <w:panose1 w:val="02000503040000020004"/>
    <w:charset w:val="00"/>
    <w:family w:val="auto"/>
    <w:pitch w:val="variable"/>
    <w:sig w:usb0="80000027" w:usb1="00000000" w:usb2="00000000" w:usb3="00000000" w:csb0="00000003"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61935"/>
      <w:docPartObj>
        <w:docPartGallery w:val="Page Numbers (Bottom of Page)"/>
        <w:docPartUnique/>
      </w:docPartObj>
    </w:sdtPr>
    <w:sdtEndPr>
      <w:rPr>
        <w:color w:val="7F7F7F" w:themeColor="background1" w:themeShade="7F"/>
        <w:spacing w:val="60"/>
      </w:rPr>
    </w:sdtEndPr>
    <w:sdtContent>
      <w:p w:rsidR="00761A62" w:rsidRDefault="004E5C83">
        <w:pPr>
          <w:pStyle w:val="Footer"/>
          <w:pBdr>
            <w:top w:val="single" w:sz="4" w:space="1" w:color="D9D9D9" w:themeColor="background1" w:themeShade="D9"/>
          </w:pBdr>
          <w:jc w:val="right"/>
        </w:pPr>
        <w:fldSimple w:instr=" PAGE   \* MERGEFORMAT ">
          <w:r w:rsidR="006936FB">
            <w:rPr>
              <w:noProof/>
            </w:rPr>
            <w:t>12</w:t>
          </w:r>
        </w:fldSimple>
        <w:r w:rsidR="00761A62">
          <w:t xml:space="preserve"> | </w:t>
        </w:r>
        <w:r w:rsidR="00761A62">
          <w:rPr>
            <w:color w:val="7F7F7F" w:themeColor="background1" w:themeShade="7F"/>
            <w:spacing w:val="60"/>
          </w:rPr>
          <w:t>Suncor Energy Inc.</w:t>
        </w:r>
      </w:p>
    </w:sdtContent>
  </w:sdt>
  <w:p w:rsidR="00761A62" w:rsidRDefault="00761A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2CE" w:rsidRDefault="008C22CE" w:rsidP="00F55F51">
      <w:r>
        <w:separator/>
      </w:r>
    </w:p>
  </w:footnote>
  <w:footnote w:type="continuationSeparator" w:id="0">
    <w:p w:rsidR="008C22CE" w:rsidRDefault="008C22CE" w:rsidP="00F55F51">
      <w:r>
        <w:continuationSeparator/>
      </w:r>
    </w:p>
  </w:footnote>
  <w:footnote w:id="1">
    <w:p w:rsidR="002F391E" w:rsidRDefault="002F391E" w:rsidP="002F391E">
      <w:pPr>
        <w:pStyle w:val="FootnoteText"/>
      </w:pPr>
      <w:r>
        <w:rPr>
          <w:rStyle w:val="FootnoteReference"/>
        </w:rPr>
        <w:footnoteRef/>
      </w:r>
      <w:r>
        <w:t xml:space="preserve"> </w:t>
      </w:r>
      <w:r w:rsidR="000F7623">
        <w:t>Canadian Energy Pipeline Association via Suncor</w:t>
      </w:r>
      <w:r w:rsidR="00D330FA">
        <w:t xml:space="preserve"> Energy Inc.</w:t>
      </w:r>
      <w:r w:rsidR="000F7623">
        <w:t>, "If not pipelines, then what</w:t>
      </w:r>
      <w:proofErr w:type="gramStart"/>
      <w:r w:rsidR="000F7623">
        <w:t>?,</w:t>
      </w:r>
      <w:proofErr w:type="gramEnd"/>
      <w:r w:rsidR="000F7623">
        <w:t xml:space="preserve">" </w:t>
      </w:r>
      <w:r w:rsidR="000F7623">
        <w:rPr>
          <w:rStyle w:val="Emphasis"/>
        </w:rPr>
        <w:t>Oil Sands Question and Response</w:t>
      </w:r>
      <w:r w:rsidR="000F7623">
        <w:t xml:space="preserve"> (blog), Feb 09, 2011, http://osqar.suncor.com/2011/02/if-not-pipelines-then-what.html.</w:t>
      </w:r>
    </w:p>
  </w:footnote>
  <w:footnote w:id="2">
    <w:p w:rsidR="00A16DC6" w:rsidRDefault="00A16DC6">
      <w:pPr>
        <w:pStyle w:val="FootnoteText"/>
      </w:pPr>
      <w:r>
        <w:rPr>
          <w:rStyle w:val="FootnoteReference"/>
        </w:rPr>
        <w:footnoteRef/>
      </w:r>
      <w:r>
        <w:t xml:space="preserve"> Suncor</w:t>
      </w:r>
      <w:r w:rsidR="00D330FA">
        <w:t xml:space="preserve"> Energy Inc.</w:t>
      </w:r>
      <w:r>
        <w:t>, "2011 Report on Sustainability," http://sustainability.suncor.com/2011/pdf/ROS11_E_Final_July14.pdf (accessed February 1, 2012).</w:t>
      </w:r>
    </w:p>
  </w:footnote>
  <w:footnote w:id="3">
    <w:p w:rsidR="00484D7B" w:rsidRDefault="00484D7B" w:rsidP="00484D7B">
      <w:pPr>
        <w:pStyle w:val="FootnoteText"/>
      </w:pPr>
      <w:r>
        <w:rPr>
          <w:rStyle w:val="FootnoteReference"/>
        </w:rPr>
        <w:footnoteRef/>
      </w:r>
      <w:r>
        <w:t xml:space="preserve"> Anne Harding, Suncor Energy Inc., "Aboriginal-corporate collaborations: ingredients for success," </w:t>
      </w:r>
      <w:r>
        <w:rPr>
          <w:rStyle w:val="Emphasis"/>
        </w:rPr>
        <w:t>Oil Sands Question and Response</w:t>
      </w:r>
      <w:r>
        <w:t xml:space="preserve"> (blog), Feb 22, 2012, http://osqar.suncor.com/2012/02/aboriginal-corporate-collaborations-ingredients-for-success.html.</w:t>
      </w:r>
    </w:p>
  </w:footnote>
  <w:footnote w:id="4">
    <w:p w:rsidR="004E4833" w:rsidRDefault="004E4833">
      <w:pPr>
        <w:pStyle w:val="FootnoteText"/>
      </w:pPr>
      <w:r>
        <w:rPr>
          <w:rStyle w:val="FootnoteReference"/>
        </w:rPr>
        <w:footnoteRef/>
      </w:r>
      <w:r>
        <w:t xml:space="preserve"> Suncor Energy Inc., "2011 Report on Sustainability," http://sustainability.suncor.com/2011/pdf/ROS11_E_Final_July14.pdf (accessed February 1, 2012).</w:t>
      </w:r>
    </w:p>
  </w:footnote>
  <w:footnote w:id="5">
    <w:p w:rsidR="0085682C" w:rsidRDefault="0085682C">
      <w:pPr>
        <w:pStyle w:val="FootnoteText"/>
      </w:pPr>
      <w:r>
        <w:rPr>
          <w:rStyle w:val="FootnoteReference"/>
        </w:rPr>
        <w:footnoteRef/>
      </w:r>
      <w:r>
        <w:t xml:space="preserve"> Ibid.</w:t>
      </w:r>
    </w:p>
  </w:footnote>
  <w:footnote w:id="6">
    <w:p w:rsidR="00491A69" w:rsidRDefault="00491A69">
      <w:pPr>
        <w:pStyle w:val="FootnoteText"/>
      </w:pPr>
      <w:r>
        <w:rPr>
          <w:rStyle w:val="FootnoteReference"/>
        </w:rPr>
        <w:footnoteRef/>
      </w:r>
      <w:r>
        <w:t xml:space="preserve"> Ibid.</w:t>
      </w:r>
    </w:p>
  </w:footnote>
  <w:footnote w:id="7">
    <w:p w:rsidR="00491A69" w:rsidRDefault="00491A69">
      <w:pPr>
        <w:pStyle w:val="FootnoteText"/>
      </w:pPr>
      <w:r>
        <w:rPr>
          <w:rStyle w:val="FootnoteReference"/>
        </w:rPr>
        <w:footnoteRef/>
      </w:r>
      <w:r>
        <w:t xml:space="preserve"> Ibid.</w:t>
      </w:r>
    </w:p>
  </w:footnote>
  <w:footnote w:id="8">
    <w:p w:rsidR="00C866F1" w:rsidRDefault="00C866F1">
      <w:pPr>
        <w:pStyle w:val="FootnoteText"/>
      </w:pPr>
      <w:r>
        <w:rPr>
          <w:rStyle w:val="FootnoteReference"/>
        </w:rPr>
        <w:footnoteRef/>
      </w:r>
      <w:r>
        <w:t xml:space="preserve"> </w:t>
      </w:r>
      <w:proofErr w:type="spellStart"/>
      <w:r>
        <w:t>Penty</w:t>
      </w:r>
      <w:proofErr w:type="spellEnd"/>
      <w:r>
        <w:t xml:space="preserve">, Rebecca. "Alberta Urged to Plan for Chinese Market." </w:t>
      </w:r>
      <w:proofErr w:type="gramStart"/>
      <w:r>
        <w:rPr>
          <w:i/>
          <w:iCs/>
        </w:rPr>
        <w:t>Calgary Herald,</w:t>
      </w:r>
      <w:r>
        <w:t xml:space="preserve"> Jan 24, 2012, http://ezproxy.library.ubc.ca/login?url=http://search.proquest.com/docview/917991840?accountid=14656 (accessed March 21, 2012).</w:t>
      </w:r>
      <w:proofErr w:type="gramEnd"/>
    </w:p>
  </w:footnote>
  <w:footnote w:id="9">
    <w:p w:rsidR="00A056DD" w:rsidRDefault="00A056DD">
      <w:pPr>
        <w:pStyle w:val="FootnoteText"/>
      </w:pPr>
      <w:r>
        <w:rPr>
          <w:rStyle w:val="FootnoteReference"/>
        </w:rPr>
        <w:footnoteRef/>
      </w:r>
      <w:r>
        <w:t xml:space="preserve"> </w:t>
      </w:r>
      <w:proofErr w:type="spellStart"/>
      <w:proofErr w:type="gramStart"/>
      <w:r w:rsidR="007E2204">
        <w:t>Honarvar</w:t>
      </w:r>
      <w:proofErr w:type="spellEnd"/>
      <w:r w:rsidR="007E2204">
        <w:t xml:space="preserve">, </w:t>
      </w:r>
      <w:proofErr w:type="spellStart"/>
      <w:r w:rsidR="007E2204">
        <w:t>Afshin</w:t>
      </w:r>
      <w:proofErr w:type="spellEnd"/>
      <w:r w:rsidR="007E2204">
        <w:t xml:space="preserve">, </w:t>
      </w:r>
      <w:proofErr w:type="spellStart"/>
      <w:r w:rsidR="007E2204">
        <w:t>Dinara</w:t>
      </w:r>
      <w:proofErr w:type="spellEnd"/>
      <w:r w:rsidR="007E2204">
        <w:t xml:space="preserve"> Millington, Jon </w:t>
      </w:r>
      <w:proofErr w:type="spellStart"/>
      <w:r w:rsidR="007E2204">
        <w:t>Rozhon</w:t>
      </w:r>
      <w:proofErr w:type="spellEnd"/>
      <w:r w:rsidR="007E2204">
        <w:t>, Thorn Walden, and Carlos A. Murillo.</w:t>
      </w:r>
      <w:proofErr w:type="gramEnd"/>
      <w:r w:rsidR="007E2204">
        <w:t xml:space="preserve"> Canadian Energy Research Institute, "</w:t>
      </w:r>
      <w:proofErr w:type="spellStart"/>
      <w:r w:rsidR="007E2204">
        <w:t>Ecconomic</w:t>
      </w:r>
      <w:proofErr w:type="spellEnd"/>
      <w:r w:rsidR="007E2204">
        <w:t xml:space="preserve"> Impacts of Staged Development of Oil Sands Projects in Alberta (2010-2035)." </w:t>
      </w:r>
      <w:proofErr w:type="gramStart"/>
      <w:r w:rsidR="007E2204">
        <w:t>Last modified June, 2011.</w:t>
      </w:r>
      <w:proofErr w:type="gramEnd"/>
      <w:r w:rsidR="007E2204">
        <w:t xml:space="preserve"> </w:t>
      </w:r>
      <w:proofErr w:type="gramStart"/>
      <w:r w:rsidR="007E2204">
        <w:t>Accessed March 21, 2012.</w:t>
      </w:r>
      <w:proofErr w:type="gramEnd"/>
      <w:r w:rsidR="007E2204">
        <w:t xml:space="preserve"> http://www.ceri.ca/images/stories/2011-08-24_CERI_Study_125_Section_1.pdf.</w:t>
      </w:r>
    </w:p>
  </w:footnote>
  <w:footnote w:id="10">
    <w:p w:rsidR="009369AD" w:rsidRDefault="009369AD">
      <w:pPr>
        <w:pStyle w:val="FootnoteText"/>
      </w:pPr>
      <w:r>
        <w:rPr>
          <w:rStyle w:val="FootnoteReference"/>
        </w:rPr>
        <w:footnoteRef/>
      </w:r>
      <w:r>
        <w:t xml:space="preserve"> Ibid.</w:t>
      </w:r>
    </w:p>
  </w:footnote>
  <w:footnote w:id="11">
    <w:p w:rsidR="00E570C7" w:rsidRDefault="00E570C7">
      <w:pPr>
        <w:pStyle w:val="FootnoteText"/>
      </w:pPr>
      <w:r>
        <w:rPr>
          <w:rStyle w:val="FootnoteReference"/>
        </w:rPr>
        <w:footnoteRef/>
      </w:r>
      <w:r>
        <w:t xml:space="preserve"> Ibid.</w:t>
      </w:r>
    </w:p>
  </w:footnote>
  <w:footnote w:id="12">
    <w:p w:rsidR="005115C9" w:rsidRDefault="005115C9">
      <w:pPr>
        <w:pStyle w:val="FootnoteText"/>
      </w:pPr>
      <w:r>
        <w:rPr>
          <w:rStyle w:val="FootnoteReference"/>
        </w:rPr>
        <w:footnoteRef/>
      </w:r>
      <w:r>
        <w:t xml:space="preserve"> </w:t>
      </w:r>
      <w:proofErr w:type="gramStart"/>
      <w:r>
        <w:t>Center for Climate and Energy Solutions, "Coal and Climate Change Facts."</w:t>
      </w:r>
      <w:proofErr w:type="gramEnd"/>
      <w:r>
        <w:t xml:space="preserve"> </w:t>
      </w:r>
      <w:proofErr w:type="gramStart"/>
      <w:r>
        <w:t>Last modified March 19, 2012.</w:t>
      </w:r>
      <w:proofErr w:type="gramEnd"/>
      <w:r>
        <w:t xml:space="preserve"> </w:t>
      </w:r>
      <w:proofErr w:type="gramStart"/>
      <w:r>
        <w:t>Accessed March 21, 2012.</w:t>
      </w:r>
      <w:proofErr w:type="gramEnd"/>
      <w:r>
        <w:t xml:space="preserve"> http://www.c2es.org/global-warming-basics/coalfacts.cfm.</w:t>
      </w:r>
    </w:p>
  </w:footnote>
  <w:footnote w:id="13">
    <w:p w:rsidR="00AB535C" w:rsidRDefault="00AB535C">
      <w:pPr>
        <w:pStyle w:val="FootnoteText"/>
      </w:pPr>
      <w:r>
        <w:rPr>
          <w:rStyle w:val="FootnoteReference"/>
        </w:rPr>
        <w:footnoteRef/>
      </w:r>
      <w:r>
        <w:t xml:space="preserve"> </w:t>
      </w:r>
      <w:proofErr w:type="gramStart"/>
      <w:r>
        <w:t xml:space="preserve">Crown, Department for Transport, "Carbon and Sustainability Reporting Within the Renewable Transport Fuel Obligation," </w:t>
      </w:r>
      <w:r>
        <w:rPr>
          <w:rStyle w:val="Emphasis"/>
        </w:rPr>
        <w:t>Government Recommendation to the Office of the Renewable Fuels Agency</w:t>
      </w:r>
      <w:r>
        <w:t>, no.</w:t>
      </w:r>
      <w:proofErr w:type="gramEnd"/>
      <w:r>
        <w:t xml:space="preserve"> </w:t>
      </w:r>
      <w:proofErr w:type="gramStart"/>
      <w:r>
        <w:t>Jan (2008), http://webarchive.nationalarchives.gov.uk/ /http://www.dft.gov.uk/pgr/roads/environment/rtfo/govrecrfa.pdf (accessed March 21, 2012).</w:t>
      </w:r>
      <w:proofErr w:type="gramEnd"/>
    </w:p>
  </w:footnote>
  <w:footnote w:id="14">
    <w:p w:rsidR="000022C4" w:rsidRDefault="000022C4">
      <w:pPr>
        <w:pStyle w:val="FootnoteText"/>
      </w:pPr>
      <w:r>
        <w:rPr>
          <w:rStyle w:val="FootnoteReference"/>
        </w:rPr>
        <w:footnoteRef/>
      </w:r>
      <w:r>
        <w:t xml:space="preserve"> Oil Sands Truth, "</w:t>
      </w:r>
      <w:proofErr w:type="spellStart"/>
      <w:r>
        <w:t>Factbox</w:t>
      </w:r>
      <w:proofErr w:type="gramStart"/>
      <w:r>
        <w:t>:Enbridge</w:t>
      </w:r>
      <w:proofErr w:type="spellEnd"/>
      <w:proofErr w:type="gramEnd"/>
      <w:r>
        <w:t xml:space="preserve"> Pipeline to the Pacific: Facts and Issues." </w:t>
      </w:r>
      <w:proofErr w:type="gramStart"/>
      <w:r>
        <w:t>Last modified Jan 30, 2012.</w:t>
      </w:r>
      <w:proofErr w:type="gramEnd"/>
      <w:r>
        <w:t xml:space="preserve"> </w:t>
      </w:r>
      <w:proofErr w:type="gramStart"/>
      <w:r>
        <w:t>Accessed March 21, 2012.</w:t>
      </w:r>
      <w:proofErr w:type="gramEnd"/>
      <w:r>
        <w:t xml:space="preserve"> http://oilsandstruth.org/factbox-enbridge-pipeline-pacific-facts-and-issues.</w:t>
      </w:r>
    </w:p>
  </w:footnote>
  <w:footnote w:id="15">
    <w:p w:rsidR="00763C9E" w:rsidRDefault="00763C9E">
      <w:pPr>
        <w:pStyle w:val="FootnoteText"/>
      </w:pPr>
      <w:r>
        <w:rPr>
          <w:rStyle w:val="FootnoteReference"/>
        </w:rPr>
        <w:footnoteRef/>
      </w:r>
      <w:r>
        <w:t xml:space="preserve"> </w:t>
      </w:r>
      <w:proofErr w:type="spellStart"/>
      <w:proofErr w:type="gramStart"/>
      <w:r>
        <w:t>Honarvar</w:t>
      </w:r>
      <w:proofErr w:type="spellEnd"/>
      <w:r>
        <w:t xml:space="preserve">, </w:t>
      </w:r>
      <w:proofErr w:type="spellStart"/>
      <w:r>
        <w:t>Afshin</w:t>
      </w:r>
      <w:proofErr w:type="spellEnd"/>
      <w:r>
        <w:t xml:space="preserve">, </w:t>
      </w:r>
      <w:proofErr w:type="spellStart"/>
      <w:r>
        <w:t>Dinara</w:t>
      </w:r>
      <w:proofErr w:type="spellEnd"/>
      <w:r>
        <w:t xml:space="preserve"> Millington, Jon </w:t>
      </w:r>
      <w:proofErr w:type="spellStart"/>
      <w:r>
        <w:t>Rozhon</w:t>
      </w:r>
      <w:proofErr w:type="spellEnd"/>
      <w:r>
        <w:t>, Thorn Walden, and Carlos A. Murillo.</w:t>
      </w:r>
      <w:proofErr w:type="gramEnd"/>
      <w:r>
        <w:t xml:space="preserve"> Canadian Energy Research Institute, "</w:t>
      </w:r>
      <w:proofErr w:type="spellStart"/>
      <w:r>
        <w:t>Ecconomic</w:t>
      </w:r>
      <w:proofErr w:type="spellEnd"/>
      <w:r>
        <w:t xml:space="preserve"> Impacts of Staged Development of Oil Sands Projects in Alberta (2010-2035)." </w:t>
      </w:r>
      <w:proofErr w:type="gramStart"/>
      <w:r>
        <w:t>Last modified June, 2011.</w:t>
      </w:r>
      <w:proofErr w:type="gramEnd"/>
      <w:r>
        <w:t xml:space="preserve"> </w:t>
      </w:r>
      <w:proofErr w:type="gramStart"/>
      <w:r>
        <w:t>Accessed March 21, 2012.</w:t>
      </w:r>
      <w:proofErr w:type="gramEnd"/>
      <w:r>
        <w:t xml:space="preserve"> http://www.ceri.ca/images/stories/2011-08-24_CERI_Study_125_Section_1.pdf.</w:t>
      </w:r>
    </w:p>
  </w:footnote>
  <w:footnote w:id="16">
    <w:p w:rsidR="00871A02" w:rsidRDefault="00871A02">
      <w:pPr>
        <w:pStyle w:val="FootnoteText"/>
      </w:pPr>
      <w:r>
        <w:rPr>
          <w:rStyle w:val="FootnoteReference"/>
        </w:rPr>
        <w:footnoteRef/>
      </w:r>
      <w:r>
        <w:t xml:space="preserve"> Canadian Energy Pipeline Association via Suncor Energy Inc., "If not pipelines, then what</w:t>
      </w:r>
      <w:proofErr w:type="gramStart"/>
      <w:r>
        <w:t>?,</w:t>
      </w:r>
      <w:proofErr w:type="gramEnd"/>
      <w:r>
        <w:t xml:space="preserve">" </w:t>
      </w:r>
      <w:r>
        <w:rPr>
          <w:rStyle w:val="Emphasis"/>
        </w:rPr>
        <w:t>Oil Sands Question and Response</w:t>
      </w:r>
      <w:r>
        <w:t xml:space="preserve"> (blog), Feb 09, 2011, http://osqar.suncor.com/2011/02/if-not-pipelines-then-what.html.</w:t>
      </w:r>
    </w:p>
  </w:footnote>
  <w:footnote w:id="17">
    <w:p w:rsidR="00D43572" w:rsidRDefault="00D43572">
      <w:pPr>
        <w:pStyle w:val="FootnoteText"/>
      </w:pPr>
      <w:r>
        <w:rPr>
          <w:rStyle w:val="FootnoteReference"/>
        </w:rPr>
        <w:footnoteRef/>
      </w:r>
      <w:r>
        <w:t xml:space="preserve"> </w:t>
      </w:r>
      <w:proofErr w:type="spellStart"/>
      <w:proofErr w:type="gramStart"/>
      <w:r>
        <w:t>Honarvar</w:t>
      </w:r>
      <w:proofErr w:type="spellEnd"/>
      <w:r>
        <w:t xml:space="preserve">, </w:t>
      </w:r>
      <w:proofErr w:type="spellStart"/>
      <w:r>
        <w:t>Afshin</w:t>
      </w:r>
      <w:proofErr w:type="spellEnd"/>
      <w:r>
        <w:t xml:space="preserve">, </w:t>
      </w:r>
      <w:proofErr w:type="spellStart"/>
      <w:r>
        <w:t>Dinara</w:t>
      </w:r>
      <w:proofErr w:type="spellEnd"/>
      <w:r>
        <w:t xml:space="preserve"> Millington, Jon </w:t>
      </w:r>
      <w:proofErr w:type="spellStart"/>
      <w:r>
        <w:t>Rozhon</w:t>
      </w:r>
      <w:proofErr w:type="spellEnd"/>
      <w:r>
        <w:t>, Thorn Walden, and Carlos A. Murillo.</w:t>
      </w:r>
      <w:proofErr w:type="gramEnd"/>
      <w:r>
        <w:t xml:space="preserve"> Canadian Energy Research Institute, "</w:t>
      </w:r>
      <w:proofErr w:type="spellStart"/>
      <w:r>
        <w:t>Ecconomic</w:t>
      </w:r>
      <w:proofErr w:type="spellEnd"/>
      <w:r>
        <w:t xml:space="preserve"> Impacts of Staged Development of Oil Sands Projects in Alberta (2010-2035)." </w:t>
      </w:r>
      <w:proofErr w:type="gramStart"/>
      <w:r>
        <w:t>Last modified June, 2011.</w:t>
      </w:r>
      <w:proofErr w:type="gramEnd"/>
      <w:r>
        <w:t xml:space="preserve"> </w:t>
      </w:r>
      <w:proofErr w:type="gramStart"/>
      <w:r>
        <w:t>Accessed March 21, 2012.</w:t>
      </w:r>
      <w:proofErr w:type="gramEnd"/>
      <w:r>
        <w:t xml:space="preserve"> http://www.ceri.ca/images/stories/2011-08-24_CERI_Study_125_Section_1.pdf.</w:t>
      </w:r>
    </w:p>
  </w:footnote>
  <w:footnote w:id="18">
    <w:p w:rsidR="00104C41" w:rsidRDefault="00104C41">
      <w:pPr>
        <w:pStyle w:val="FootnoteText"/>
      </w:pPr>
      <w:r>
        <w:rPr>
          <w:rStyle w:val="FootnoteReference"/>
        </w:rPr>
        <w:footnoteRef/>
      </w:r>
      <w:r>
        <w:t xml:space="preserve"> </w:t>
      </w:r>
      <w:r w:rsidR="00D43572">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579" w:rsidRDefault="007D0579">
    <w:pPr>
      <w:pStyle w:val="Header"/>
    </w:pPr>
    <w:r>
      <w:tab/>
    </w:r>
    <w:r>
      <w:tab/>
    </w:r>
    <w:r w:rsidR="00FC7802">
      <w:rPr>
        <w:noProof/>
        <w:lang w:eastAsia="en-CA"/>
      </w:rPr>
      <w:drawing>
        <wp:inline distT="0" distB="0" distL="0" distR="0">
          <wp:extent cx="1533525" cy="1183971"/>
          <wp:effectExtent l="19050" t="0" r="9525" b="0"/>
          <wp:docPr id="3" name="Picture 2" descr="Sunco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cor-4.jpg"/>
                  <pic:cNvPicPr/>
                </pic:nvPicPr>
                <pic:blipFill>
                  <a:blip r:embed="rId1"/>
                  <a:stretch>
                    <a:fillRect/>
                  </a:stretch>
                </pic:blipFill>
                <pic:spPr>
                  <a:xfrm>
                    <a:off x="0" y="0"/>
                    <a:ext cx="1533859" cy="118422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0CA"/>
    <w:multiLevelType w:val="hybridMultilevel"/>
    <w:tmpl w:val="4440A57C"/>
    <w:lvl w:ilvl="0" w:tplc="AB7C227C">
      <w:numFmt w:val="bullet"/>
      <w:lvlText w:val="·"/>
      <w:lvlJc w:val="left"/>
      <w:pPr>
        <w:ind w:left="3240" w:hanging="360"/>
      </w:pPr>
      <w:rPr>
        <w:rFonts w:ascii="Helvetica CE 55 Roman" w:eastAsia="Times New Roman" w:hAnsi="Helvetica CE 55 Roman" w:cs="Arial" w:hint="default"/>
        <w:color w:val="000000"/>
      </w:rPr>
    </w:lvl>
    <w:lvl w:ilvl="1" w:tplc="10090003" w:tentative="1">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nsid w:val="08611F14"/>
    <w:multiLevelType w:val="hybridMultilevel"/>
    <w:tmpl w:val="4094BE38"/>
    <w:lvl w:ilvl="0" w:tplc="AB7C227C">
      <w:numFmt w:val="bullet"/>
      <w:lvlText w:val="·"/>
      <w:lvlJc w:val="left"/>
      <w:pPr>
        <w:ind w:left="1800" w:hanging="360"/>
      </w:pPr>
      <w:rPr>
        <w:rFonts w:ascii="Helvetica CE 55 Roman" w:eastAsia="Times New Roman" w:hAnsi="Helvetica CE 55 Roman" w:cs="Arial" w:hint="default"/>
        <w:color w:val="000000"/>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nsid w:val="08F14918"/>
    <w:multiLevelType w:val="hybridMultilevel"/>
    <w:tmpl w:val="9DE4D8FA"/>
    <w:lvl w:ilvl="0" w:tplc="10090001">
      <w:start w:val="1"/>
      <w:numFmt w:val="bullet"/>
      <w:lvlText w:val=""/>
      <w:lvlJc w:val="left"/>
      <w:pPr>
        <w:ind w:left="3960" w:hanging="360"/>
      </w:pPr>
      <w:rPr>
        <w:rFonts w:ascii="Symbol" w:hAnsi="Symbol"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3">
    <w:nsid w:val="15812FF0"/>
    <w:multiLevelType w:val="hybridMultilevel"/>
    <w:tmpl w:val="80A6F950"/>
    <w:lvl w:ilvl="0" w:tplc="AB7C227C">
      <w:numFmt w:val="bullet"/>
      <w:lvlText w:val="·"/>
      <w:lvlJc w:val="left"/>
      <w:pPr>
        <w:ind w:left="3600" w:hanging="360"/>
      </w:pPr>
      <w:rPr>
        <w:rFonts w:ascii="Helvetica CE 55 Roman" w:eastAsia="Times New Roman" w:hAnsi="Helvetica CE 55 Roman" w:cs="Arial" w:hint="default"/>
        <w:color w:val="000000"/>
      </w:rPr>
    </w:lvl>
    <w:lvl w:ilvl="1" w:tplc="10090003" w:tentative="1">
      <w:start w:val="1"/>
      <w:numFmt w:val="bullet"/>
      <w:lvlText w:val="o"/>
      <w:lvlJc w:val="left"/>
      <w:pPr>
        <w:ind w:left="3240" w:hanging="360"/>
      </w:pPr>
      <w:rPr>
        <w:rFonts w:ascii="Courier New" w:hAnsi="Courier New" w:cs="Courier New" w:hint="default"/>
      </w:rPr>
    </w:lvl>
    <w:lvl w:ilvl="2" w:tplc="10090005">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4">
    <w:nsid w:val="1AEA31B2"/>
    <w:multiLevelType w:val="hybridMultilevel"/>
    <w:tmpl w:val="81BEB62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nsid w:val="1F1E0BAB"/>
    <w:multiLevelType w:val="hybridMultilevel"/>
    <w:tmpl w:val="99C24676"/>
    <w:lvl w:ilvl="0" w:tplc="AB7C227C">
      <w:numFmt w:val="bullet"/>
      <w:lvlText w:val="·"/>
      <w:lvlJc w:val="left"/>
      <w:pPr>
        <w:ind w:left="3960" w:hanging="360"/>
      </w:pPr>
      <w:rPr>
        <w:rFonts w:ascii="Helvetica CE 55 Roman" w:eastAsia="Times New Roman" w:hAnsi="Helvetica CE 55 Roman" w:cs="Arial" w:hint="default"/>
        <w:color w:val="000000"/>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6">
    <w:nsid w:val="37BA09E9"/>
    <w:multiLevelType w:val="hybridMultilevel"/>
    <w:tmpl w:val="C368F9C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nsid w:val="440B11BD"/>
    <w:multiLevelType w:val="hybridMultilevel"/>
    <w:tmpl w:val="55843C20"/>
    <w:lvl w:ilvl="0" w:tplc="ED72E5F4">
      <w:start w:val="1"/>
      <w:numFmt w:val="upperRoman"/>
      <w:lvlText w:val="%1."/>
      <w:lvlJc w:val="left"/>
      <w:pPr>
        <w:ind w:left="1080" w:hanging="720"/>
      </w:pPr>
      <w:rPr>
        <w:rFonts w:hint="default"/>
        <w:b/>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DCE12F6"/>
    <w:multiLevelType w:val="hybridMultilevel"/>
    <w:tmpl w:val="4B9E6F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58EC0EBC"/>
    <w:multiLevelType w:val="hybridMultilevel"/>
    <w:tmpl w:val="0B3E907C"/>
    <w:lvl w:ilvl="0" w:tplc="AB7C227C">
      <w:numFmt w:val="bullet"/>
      <w:lvlText w:val="·"/>
      <w:lvlJc w:val="left"/>
      <w:pPr>
        <w:ind w:left="3960" w:hanging="360"/>
      </w:pPr>
      <w:rPr>
        <w:rFonts w:ascii="Helvetica CE 55 Roman" w:eastAsia="Times New Roman" w:hAnsi="Helvetica CE 55 Roman" w:cs="Arial" w:hint="default"/>
        <w:color w:val="000000"/>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0">
    <w:nsid w:val="59A6799C"/>
    <w:multiLevelType w:val="hybridMultilevel"/>
    <w:tmpl w:val="3634EB72"/>
    <w:lvl w:ilvl="0" w:tplc="B7E0957C">
      <w:start w:val="1"/>
      <w:numFmt w:val="upperRoman"/>
      <w:lvlText w:val="%1."/>
      <w:lvlJc w:val="left"/>
      <w:pPr>
        <w:ind w:left="1080" w:hanging="720"/>
      </w:pPr>
      <w:rPr>
        <w:rFonts w:hint="default"/>
        <w:b/>
        <w:color w:val="000000"/>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A8B35AF"/>
    <w:multiLevelType w:val="hybridMultilevel"/>
    <w:tmpl w:val="4006893C"/>
    <w:lvl w:ilvl="0" w:tplc="5FC2023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EC71A73"/>
    <w:multiLevelType w:val="hybridMultilevel"/>
    <w:tmpl w:val="CB3E7F12"/>
    <w:lvl w:ilvl="0" w:tplc="10090001">
      <w:start w:val="1"/>
      <w:numFmt w:val="bullet"/>
      <w:lvlText w:val=""/>
      <w:lvlJc w:val="left"/>
      <w:pPr>
        <w:ind w:left="3960" w:hanging="360"/>
      </w:pPr>
      <w:rPr>
        <w:rFonts w:ascii="Symbol" w:hAnsi="Symbol"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3">
    <w:nsid w:val="70E67454"/>
    <w:multiLevelType w:val="hybridMultilevel"/>
    <w:tmpl w:val="4606D71E"/>
    <w:lvl w:ilvl="0" w:tplc="792AA4EA">
      <w:start w:val="1"/>
      <w:numFmt w:val="lowerRoman"/>
      <w:lvlText w:val="%1."/>
      <w:lvlJc w:val="left"/>
      <w:pPr>
        <w:ind w:left="1440" w:hanging="720"/>
      </w:pPr>
      <w:rPr>
        <w:rFonts w:hint="default"/>
        <w:b/>
        <w:u w:val="singl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8"/>
  </w:num>
  <w:num w:numId="2">
    <w:abstractNumId w:val="6"/>
  </w:num>
  <w:num w:numId="3">
    <w:abstractNumId w:val="4"/>
  </w:num>
  <w:num w:numId="4">
    <w:abstractNumId w:val="1"/>
  </w:num>
  <w:num w:numId="5">
    <w:abstractNumId w:val="0"/>
  </w:num>
  <w:num w:numId="6">
    <w:abstractNumId w:val="3"/>
  </w:num>
  <w:num w:numId="7">
    <w:abstractNumId w:val="5"/>
  </w:num>
  <w:num w:numId="8">
    <w:abstractNumId w:val="9"/>
  </w:num>
  <w:num w:numId="9">
    <w:abstractNumId w:val="12"/>
  </w:num>
  <w:num w:numId="10">
    <w:abstractNumId w:val="2"/>
  </w:num>
  <w:num w:numId="11">
    <w:abstractNumId w:val="11"/>
  </w:num>
  <w:num w:numId="12">
    <w:abstractNumId w:val="10"/>
  </w:num>
  <w:num w:numId="13">
    <w:abstractNumId w:val="7"/>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1F1E5C"/>
    <w:rsid w:val="000022C4"/>
    <w:rsid w:val="00003572"/>
    <w:rsid w:val="00003D1E"/>
    <w:rsid w:val="00005432"/>
    <w:rsid w:val="000079D5"/>
    <w:rsid w:val="00014A11"/>
    <w:rsid w:val="0002459D"/>
    <w:rsid w:val="00024AE0"/>
    <w:rsid w:val="00026746"/>
    <w:rsid w:val="00032138"/>
    <w:rsid w:val="00032A85"/>
    <w:rsid w:val="00032BFA"/>
    <w:rsid w:val="00036D9D"/>
    <w:rsid w:val="000373F1"/>
    <w:rsid w:val="000374C2"/>
    <w:rsid w:val="000378A2"/>
    <w:rsid w:val="000416B7"/>
    <w:rsid w:val="000417C3"/>
    <w:rsid w:val="00042A1C"/>
    <w:rsid w:val="0004601C"/>
    <w:rsid w:val="0004608E"/>
    <w:rsid w:val="000517DA"/>
    <w:rsid w:val="00051994"/>
    <w:rsid w:val="00054050"/>
    <w:rsid w:val="00055222"/>
    <w:rsid w:val="00055E12"/>
    <w:rsid w:val="00060647"/>
    <w:rsid w:val="000655BF"/>
    <w:rsid w:val="000673E6"/>
    <w:rsid w:val="000859DB"/>
    <w:rsid w:val="000875A4"/>
    <w:rsid w:val="000A2750"/>
    <w:rsid w:val="000A5BAE"/>
    <w:rsid w:val="000B2680"/>
    <w:rsid w:val="000C1D47"/>
    <w:rsid w:val="000C5DE7"/>
    <w:rsid w:val="000D0D29"/>
    <w:rsid w:val="000D34F5"/>
    <w:rsid w:val="000E1A48"/>
    <w:rsid w:val="000E3C6E"/>
    <w:rsid w:val="000F2DB8"/>
    <w:rsid w:val="000F32B8"/>
    <w:rsid w:val="000F7623"/>
    <w:rsid w:val="00103F71"/>
    <w:rsid w:val="001048C7"/>
    <w:rsid w:val="00104C41"/>
    <w:rsid w:val="00106BA2"/>
    <w:rsid w:val="00111627"/>
    <w:rsid w:val="00111A21"/>
    <w:rsid w:val="0012024B"/>
    <w:rsid w:val="001242C5"/>
    <w:rsid w:val="00125799"/>
    <w:rsid w:val="00127235"/>
    <w:rsid w:val="001276FA"/>
    <w:rsid w:val="00131D5B"/>
    <w:rsid w:val="001370DD"/>
    <w:rsid w:val="00143B13"/>
    <w:rsid w:val="00146472"/>
    <w:rsid w:val="00146623"/>
    <w:rsid w:val="001507E1"/>
    <w:rsid w:val="00151240"/>
    <w:rsid w:val="001569AB"/>
    <w:rsid w:val="0016612F"/>
    <w:rsid w:val="00166EC9"/>
    <w:rsid w:val="001672EE"/>
    <w:rsid w:val="00171D8C"/>
    <w:rsid w:val="00172BBA"/>
    <w:rsid w:val="001740C9"/>
    <w:rsid w:val="00177698"/>
    <w:rsid w:val="00181117"/>
    <w:rsid w:val="001818CD"/>
    <w:rsid w:val="00185AD4"/>
    <w:rsid w:val="00185D26"/>
    <w:rsid w:val="00190226"/>
    <w:rsid w:val="00191034"/>
    <w:rsid w:val="00196706"/>
    <w:rsid w:val="001A0352"/>
    <w:rsid w:val="001A1117"/>
    <w:rsid w:val="001A42E4"/>
    <w:rsid w:val="001B5C86"/>
    <w:rsid w:val="001B6817"/>
    <w:rsid w:val="001B733C"/>
    <w:rsid w:val="001B751D"/>
    <w:rsid w:val="001C19E5"/>
    <w:rsid w:val="001D0172"/>
    <w:rsid w:val="001D2852"/>
    <w:rsid w:val="001E04DF"/>
    <w:rsid w:val="001E08F5"/>
    <w:rsid w:val="001E38F3"/>
    <w:rsid w:val="001F1708"/>
    <w:rsid w:val="001F1806"/>
    <w:rsid w:val="001F1E5C"/>
    <w:rsid w:val="001F60F4"/>
    <w:rsid w:val="00202B5F"/>
    <w:rsid w:val="00207BDC"/>
    <w:rsid w:val="0021421E"/>
    <w:rsid w:val="0022043D"/>
    <w:rsid w:val="00220F28"/>
    <w:rsid w:val="00221C90"/>
    <w:rsid w:val="002230A8"/>
    <w:rsid w:val="0023255E"/>
    <w:rsid w:val="00243D82"/>
    <w:rsid w:val="0025173C"/>
    <w:rsid w:val="0025726C"/>
    <w:rsid w:val="0026394B"/>
    <w:rsid w:val="00275528"/>
    <w:rsid w:val="0028143F"/>
    <w:rsid w:val="002823C4"/>
    <w:rsid w:val="00284C18"/>
    <w:rsid w:val="00286913"/>
    <w:rsid w:val="00286EE9"/>
    <w:rsid w:val="002A09E4"/>
    <w:rsid w:val="002A0AF5"/>
    <w:rsid w:val="002A0DE9"/>
    <w:rsid w:val="002A0FF1"/>
    <w:rsid w:val="002A589F"/>
    <w:rsid w:val="002A5FF0"/>
    <w:rsid w:val="002B3965"/>
    <w:rsid w:val="002B5158"/>
    <w:rsid w:val="002C0BFD"/>
    <w:rsid w:val="002C676C"/>
    <w:rsid w:val="002C7F75"/>
    <w:rsid w:val="002D1460"/>
    <w:rsid w:val="002D583E"/>
    <w:rsid w:val="002E0E5F"/>
    <w:rsid w:val="002E4D47"/>
    <w:rsid w:val="002E561E"/>
    <w:rsid w:val="002F391E"/>
    <w:rsid w:val="00301106"/>
    <w:rsid w:val="00302641"/>
    <w:rsid w:val="00324B6F"/>
    <w:rsid w:val="00326E16"/>
    <w:rsid w:val="00330909"/>
    <w:rsid w:val="00330F75"/>
    <w:rsid w:val="00334117"/>
    <w:rsid w:val="00340C50"/>
    <w:rsid w:val="00340F28"/>
    <w:rsid w:val="00340FD5"/>
    <w:rsid w:val="0034492E"/>
    <w:rsid w:val="003543C1"/>
    <w:rsid w:val="00356113"/>
    <w:rsid w:val="00360409"/>
    <w:rsid w:val="00361537"/>
    <w:rsid w:val="0036651F"/>
    <w:rsid w:val="00373E59"/>
    <w:rsid w:val="00376143"/>
    <w:rsid w:val="003770D1"/>
    <w:rsid w:val="00377C5B"/>
    <w:rsid w:val="00377EC0"/>
    <w:rsid w:val="00385988"/>
    <w:rsid w:val="00396907"/>
    <w:rsid w:val="003A3A9F"/>
    <w:rsid w:val="003A597C"/>
    <w:rsid w:val="003B34D0"/>
    <w:rsid w:val="003B3BF9"/>
    <w:rsid w:val="003B501D"/>
    <w:rsid w:val="003B52D8"/>
    <w:rsid w:val="003B6CD9"/>
    <w:rsid w:val="003C4FAD"/>
    <w:rsid w:val="003C5E50"/>
    <w:rsid w:val="003D0118"/>
    <w:rsid w:val="003D1067"/>
    <w:rsid w:val="003D3160"/>
    <w:rsid w:val="003D3269"/>
    <w:rsid w:val="003D3E86"/>
    <w:rsid w:val="003E2BDB"/>
    <w:rsid w:val="003E508B"/>
    <w:rsid w:val="003E6050"/>
    <w:rsid w:val="003E744F"/>
    <w:rsid w:val="003F2BE8"/>
    <w:rsid w:val="003F692E"/>
    <w:rsid w:val="004013A0"/>
    <w:rsid w:val="00405473"/>
    <w:rsid w:val="00406364"/>
    <w:rsid w:val="00407280"/>
    <w:rsid w:val="004115FE"/>
    <w:rsid w:val="00411A6B"/>
    <w:rsid w:val="00413EEE"/>
    <w:rsid w:val="0041556D"/>
    <w:rsid w:val="0041642C"/>
    <w:rsid w:val="0041679C"/>
    <w:rsid w:val="00423BC4"/>
    <w:rsid w:val="00426961"/>
    <w:rsid w:val="004273FB"/>
    <w:rsid w:val="00437E63"/>
    <w:rsid w:val="00437ED0"/>
    <w:rsid w:val="00441F38"/>
    <w:rsid w:val="004423E7"/>
    <w:rsid w:val="004432AC"/>
    <w:rsid w:val="00443C9C"/>
    <w:rsid w:val="00446F1F"/>
    <w:rsid w:val="004551DE"/>
    <w:rsid w:val="00466BD1"/>
    <w:rsid w:val="00467B4C"/>
    <w:rsid w:val="004714FA"/>
    <w:rsid w:val="00472CFE"/>
    <w:rsid w:val="00473902"/>
    <w:rsid w:val="00483B72"/>
    <w:rsid w:val="00484D7B"/>
    <w:rsid w:val="0049186F"/>
    <w:rsid w:val="00491A69"/>
    <w:rsid w:val="00492753"/>
    <w:rsid w:val="00493380"/>
    <w:rsid w:val="00495B7B"/>
    <w:rsid w:val="0049652F"/>
    <w:rsid w:val="00497FA1"/>
    <w:rsid w:val="004A40E7"/>
    <w:rsid w:val="004A605D"/>
    <w:rsid w:val="004A77C8"/>
    <w:rsid w:val="004B216C"/>
    <w:rsid w:val="004B4988"/>
    <w:rsid w:val="004B561D"/>
    <w:rsid w:val="004C0581"/>
    <w:rsid w:val="004C4B3A"/>
    <w:rsid w:val="004C4CEE"/>
    <w:rsid w:val="004E4833"/>
    <w:rsid w:val="004E5C83"/>
    <w:rsid w:val="004E69B7"/>
    <w:rsid w:val="004F15CB"/>
    <w:rsid w:val="005032BE"/>
    <w:rsid w:val="0050353A"/>
    <w:rsid w:val="0050381A"/>
    <w:rsid w:val="00510876"/>
    <w:rsid w:val="005115C9"/>
    <w:rsid w:val="0051175C"/>
    <w:rsid w:val="0051593A"/>
    <w:rsid w:val="0053401B"/>
    <w:rsid w:val="0053467E"/>
    <w:rsid w:val="00534C18"/>
    <w:rsid w:val="00563DAE"/>
    <w:rsid w:val="00565FB0"/>
    <w:rsid w:val="00573268"/>
    <w:rsid w:val="005739B9"/>
    <w:rsid w:val="00574CFA"/>
    <w:rsid w:val="00586209"/>
    <w:rsid w:val="00590EFF"/>
    <w:rsid w:val="0059221E"/>
    <w:rsid w:val="005A2C06"/>
    <w:rsid w:val="005C06AD"/>
    <w:rsid w:val="005C096B"/>
    <w:rsid w:val="005C6CE7"/>
    <w:rsid w:val="005C6E14"/>
    <w:rsid w:val="005D66BC"/>
    <w:rsid w:val="005D7328"/>
    <w:rsid w:val="005D74B8"/>
    <w:rsid w:val="005F1CAC"/>
    <w:rsid w:val="005F5837"/>
    <w:rsid w:val="005F7789"/>
    <w:rsid w:val="005F7A8B"/>
    <w:rsid w:val="0060067E"/>
    <w:rsid w:val="006020AE"/>
    <w:rsid w:val="0061160D"/>
    <w:rsid w:val="00621ED4"/>
    <w:rsid w:val="00621EE7"/>
    <w:rsid w:val="006247C2"/>
    <w:rsid w:val="00625E93"/>
    <w:rsid w:val="00627FE6"/>
    <w:rsid w:val="00631123"/>
    <w:rsid w:val="00633D07"/>
    <w:rsid w:val="0063445B"/>
    <w:rsid w:val="00634FD1"/>
    <w:rsid w:val="00635F9C"/>
    <w:rsid w:val="006378EE"/>
    <w:rsid w:val="0064766A"/>
    <w:rsid w:val="006529FF"/>
    <w:rsid w:val="00665A47"/>
    <w:rsid w:val="00671B9B"/>
    <w:rsid w:val="00676781"/>
    <w:rsid w:val="00677473"/>
    <w:rsid w:val="00677FF6"/>
    <w:rsid w:val="00681BE4"/>
    <w:rsid w:val="00682705"/>
    <w:rsid w:val="006839EF"/>
    <w:rsid w:val="00685FE5"/>
    <w:rsid w:val="0068797A"/>
    <w:rsid w:val="006928D4"/>
    <w:rsid w:val="006936FB"/>
    <w:rsid w:val="006A52FD"/>
    <w:rsid w:val="006A6A16"/>
    <w:rsid w:val="006A78FC"/>
    <w:rsid w:val="006B231B"/>
    <w:rsid w:val="006C7CEB"/>
    <w:rsid w:val="006D148F"/>
    <w:rsid w:val="006D465A"/>
    <w:rsid w:val="006D47F6"/>
    <w:rsid w:val="006E45CE"/>
    <w:rsid w:val="006F240A"/>
    <w:rsid w:val="006F2AFD"/>
    <w:rsid w:val="006F7F0C"/>
    <w:rsid w:val="0070370E"/>
    <w:rsid w:val="00707642"/>
    <w:rsid w:val="0071154C"/>
    <w:rsid w:val="00716BAD"/>
    <w:rsid w:val="007178D0"/>
    <w:rsid w:val="007212A7"/>
    <w:rsid w:val="00725693"/>
    <w:rsid w:val="00740002"/>
    <w:rsid w:val="00742544"/>
    <w:rsid w:val="00761A62"/>
    <w:rsid w:val="00763C9E"/>
    <w:rsid w:val="0077331C"/>
    <w:rsid w:val="00775C28"/>
    <w:rsid w:val="00780CA4"/>
    <w:rsid w:val="00787A38"/>
    <w:rsid w:val="00792AF7"/>
    <w:rsid w:val="00794196"/>
    <w:rsid w:val="007958DA"/>
    <w:rsid w:val="007965A9"/>
    <w:rsid w:val="007A091F"/>
    <w:rsid w:val="007A0BCF"/>
    <w:rsid w:val="007B313E"/>
    <w:rsid w:val="007B39BE"/>
    <w:rsid w:val="007B43BD"/>
    <w:rsid w:val="007C49F7"/>
    <w:rsid w:val="007C62FF"/>
    <w:rsid w:val="007C633E"/>
    <w:rsid w:val="007D0579"/>
    <w:rsid w:val="007D1AD2"/>
    <w:rsid w:val="007D29B1"/>
    <w:rsid w:val="007D723E"/>
    <w:rsid w:val="007E1C4D"/>
    <w:rsid w:val="007E2204"/>
    <w:rsid w:val="007E6B12"/>
    <w:rsid w:val="007E7365"/>
    <w:rsid w:val="007E769D"/>
    <w:rsid w:val="007F07AC"/>
    <w:rsid w:val="007F5B7C"/>
    <w:rsid w:val="0080292A"/>
    <w:rsid w:val="00802973"/>
    <w:rsid w:val="00804063"/>
    <w:rsid w:val="008056D6"/>
    <w:rsid w:val="008064B5"/>
    <w:rsid w:val="0080737F"/>
    <w:rsid w:val="008114DE"/>
    <w:rsid w:val="00821176"/>
    <w:rsid w:val="00822BBA"/>
    <w:rsid w:val="00824420"/>
    <w:rsid w:val="0082717A"/>
    <w:rsid w:val="00827513"/>
    <w:rsid w:val="00834A47"/>
    <w:rsid w:val="0083753D"/>
    <w:rsid w:val="008474ED"/>
    <w:rsid w:val="0085682C"/>
    <w:rsid w:val="00857F65"/>
    <w:rsid w:val="00860333"/>
    <w:rsid w:val="00862344"/>
    <w:rsid w:val="00865640"/>
    <w:rsid w:val="00871A02"/>
    <w:rsid w:val="00873186"/>
    <w:rsid w:val="0087348F"/>
    <w:rsid w:val="0087604A"/>
    <w:rsid w:val="008820AD"/>
    <w:rsid w:val="0088438B"/>
    <w:rsid w:val="00884FB0"/>
    <w:rsid w:val="008867C2"/>
    <w:rsid w:val="00887C7E"/>
    <w:rsid w:val="00891753"/>
    <w:rsid w:val="00896731"/>
    <w:rsid w:val="00897663"/>
    <w:rsid w:val="008A1571"/>
    <w:rsid w:val="008A1B5F"/>
    <w:rsid w:val="008B3243"/>
    <w:rsid w:val="008B3603"/>
    <w:rsid w:val="008B545D"/>
    <w:rsid w:val="008B78E7"/>
    <w:rsid w:val="008C010A"/>
    <w:rsid w:val="008C22CE"/>
    <w:rsid w:val="008C6690"/>
    <w:rsid w:val="008D3053"/>
    <w:rsid w:val="008D4909"/>
    <w:rsid w:val="008D7600"/>
    <w:rsid w:val="008E1347"/>
    <w:rsid w:val="008F0B45"/>
    <w:rsid w:val="008F2B75"/>
    <w:rsid w:val="008F4BD1"/>
    <w:rsid w:val="008F7102"/>
    <w:rsid w:val="00902A20"/>
    <w:rsid w:val="009072FE"/>
    <w:rsid w:val="00907A47"/>
    <w:rsid w:val="00921B06"/>
    <w:rsid w:val="009226BF"/>
    <w:rsid w:val="0092307B"/>
    <w:rsid w:val="00932361"/>
    <w:rsid w:val="009348D4"/>
    <w:rsid w:val="00935A97"/>
    <w:rsid w:val="009369AD"/>
    <w:rsid w:val="0094154B"/>
    <w:rsid w:val="00942199"/>
    <w:rsid w:val="00944065"/>
    <w:rsid w:val="00960B55"/>
    <w:rsid w:val="00962FE4"/>
    <w:rsid w:val="0096765B"/>
    <w:rsid w:val="00971D7A"/>
    <w:rsid w:val="009731A0"/>
    <w:rsid w:val="0097745B"/>
    <w:rsid w:val="00984B40"/>
    <w:rsid w:val="00996045"/>
    <w:rsid w:val="00996DD0"/>
    <w:rsid w:val="009A1BA5"/>
    <w:rsid w:val="009A3D73"/>
    <w:rsid w:val="009A3F13"/>
    <w:rsid w:val="009A415D"/>
    <w:rsid w:val="009A5B3B"/>
    <w:rsid w:val="009A7CF7"/>
    <w:rsid w:val="009B3C64"/>
    <w:rsid w:val="009B5032"/>
    <w:rsid w:val="009C0BB7"/>
    <w:rsid w:val="009C18C3"/>
    <w:rsid w:val="009E2123"/>
    <w:rsid w:val="009E2FEE"/>
    <w:rsid w:val="009E3E9C"/>
    <w:rsid w:val="009E539F"/>
    <w:rsid w:val="009F0D83"/>
    <w:rsid w:val="009F286D"/>
    <w:rsid w:val="009F452F"/>
    <w:rsid w:val="009F4F51"/>
    <w:rsid w:val="00A00511"/>
    <w:rsid w:val="00A00A5B"/>
    <w:rsid w:val="00A056DD"/>
    <w:rsid w:val="00A07026"/>
    <w:rsid w:val="00A1578B"/>
    <w:rsid w:val="00A16DC6"/>
    <w:rsid w:val="00A206AC"/>
    <w:rsid w:val="00A2134C"/>
    <w:rsid w:val="00A227D8"/>
    <w:rsid w:val="00A237D1"/>
    <w:rsid w:val="00A24B24"/>
    <w:rsid w:val="00A250F0"/>
    <w:rsid w:val="00A26562"/>
    <w:rsid w:val="00A326E0"/>
    <w:rsid w:val="00A34C52"/>
    <w:rsid w:val="00A43EA1"/>
    <w:rsid w:val="00A44B80"/>
    <w:rsid w:val="00A44BCC"/>
    <w:rsid w:val="00A46239"/>
    <w:rsid w:val="00A613DF"/>
    <w:rsid w:val="00A632A0"/>
    <w:rsid w:val="00A67341"/>
    <w:rsid w:val="00A71716"/>
    <w:rsid w:val="00A71BF2"/>
    <w:rsid w:val="00A81AC5"/>
    <w:rsid w:val="00A81B10"/>
    <w:rsid w:val="00A85213"/>
    <w:rsid w:val="00A86F91"/>
    <w:rsid w:val="00A87B11"/>
    <w:rsid w:val="00AA5AC4"/>
    <w:rsid w:val="00AB3354"/>
    <w:rsid w:val="00AB535C"/>
    <w:rsid w:val="00AC3442"/>
    <w:rsid w:val="00AC3E29"/>
    <w:rsid w:val="00AC4619"/>
    <w:rsid w:val="00AD4153"/>
    <w:rsid w:val="00AE0362"/>
    <w:rsid w:val="00AE44FD"/>
    <w:rsid w:val="00AE615A"/>
    <w:rsid w:val="00AF0982"/>
    <w:rsid w:val="00AF3BBC"/>
    <w:rsid w:val="00AF4359"/>
    <w:rsid w:val="00B00A6B"/>
    <w:rsid w:val="00B06FF3"/>
    <w:rsid w:val="00B105DD"/>
    <w:rsid w:val="00B14DEE"/>
    <w:rsid w:val="00B14DFF"/>
    <w:rsid w:val="00B210F4"/>
    <w:rsid w:val="00B26522"/>
    <w:rsid w:val="00B349BB"/>
    <w:rsid w:val="00B438D6"/>
    <w:rsid w:val="00B43C92"/>
    <w:rsid w:val="00B46E48"/>
    <w:rsid w:val="00B60DA9"/>
    <w:rsid w:val="00B61790"/>
    <w:rsid w:val="00B61ECC"/>
    <w:rsid w:val="00B626A3"/>
    <w:rsid w:val="00B6423F"/>
    <w:rsid w:val="00B80773"/>
    <w:rsid w:val="00B905C1"/>
    <w:rsid w:val="00BA3C9B"/>
    <w:rsid w:val="00BA3D80"/>
    <w:rsid w:val="00BB4230"/>
    <w:rsid w:val="00BC024F"/>
    <w:rsid w:val="00BC06E0"/>
    <w:rsid w:val="00BC3C09"/>
    <w:rsid w:val="00BC4D8D"/>
    <w:rsid w:val="00BC5703"/>
    <w:rsid w:val="00BC66C2"/>
    <w:rsid w:val="00BD2B3D"/>
    <w:rsid w:val="00BD4760"/>
    <w:rsid w:val="00BF3DCE"/>
    <w:rsid w:val="00BF4CB1"/>
    <w:rsid w:val="00BF4D86"/>
    <w:rsid w:val="00BF761C"/>
    <w:rsid w:val="00BF7B72"/>
    <w:rsid w:val="00C002A1"/>
    <w:rsid w:val="00C01CB7"/>
    <w:rsid w:val="00C020BB"/>
    <w:rsid w:val="00C04BB0"/>
    <w:rsid w:val="00C10440"/>
    <w:rsid w:val="00C14915"/>
    <w:rsid w:val="00C150C0"/>
    <w:rsid w:val="00C242D7"/>
    <w:rsid w:val="00C25E6A"/>
    <w:rsid w:val="00C264DC"/>
    <w:rsid w:val="00C27413"/>
    <w:rsid w:val="00C4316C"/>
    <w:rsid w:val="00C44722"/>
    <w:rsid w:val="00C51AC2"/>
    <w:rsid w:val="00C66A79"/>
    <w:rsid w:val="00C67630"/>
    <w:rsid w:val="00C72161"/>
    <w:rsid w:val="00C7297C"/>
    <w:rsid w:val="00C811C2"/>
    <w:rsid w:val="00C82C60"/>
    <w:rsid w:val="00C866F1"/>
    <w:rsid w:val="00CA1017"/>
    <w:rsid w:val="00CA13CC"/>
    <w:rsid w:val="00CA1494"/>
    <w:rsid w:val="00CA16B5"/>
    <w:rsid w:val="00CA7367"/>
    <w:rsid w:val="00CA764D"/>
    <w:rsid w:val="00CB4734"/>
    <w:rsid w:val="00CC51E0"/>
    <w:rsid w:val="00CC6C00"/>
    <w:rsid w:val="00CD0EAD"/>
    <w:rsid w:val="00CD77F1"/>
    <w:rsid w:val="00CE002D"/>
    <w:rsid w:val="00CE1A0C"/>
    <w:rsid w:val="00CE5B70"/>
    <w:rsid w:val="00CE6047"/>
    <w:rsid w:val="00CE7765"/>
    <w:rsid w:val="00CF568D"/>
    <w:rsid w:val="00CF7510"/>
    <w:rsid w:val="00D02C42"/>
    <w:rsid w:val="00D06904"/>
    <w:rsid w:val="00D0753E"/>
    <w:rsid w:val="00D14C62"/>
    <w:rsid w:val="00D14D58"/>
    <w:rsid w:val="00D1588A"/>
    <w:rsid w:val="00D17F5D"/>
    <w:rsid w:val="00D30EF8"/>
    <w:rsid w:val="00D30FD1"/>
    <w:rsid w:val="00D330FA"/>
    <w:rsid w:val="00D3395D"/>
    <w:rsid w:val="00D3708D"/>
    <w:rsid w:val="00D401F5"/>
    <w:rsid w:val="00D41CB0"/>
    <w:rsid w:val="00D43572"/>
    <w:rsid w:val="00D5438E"/>
    <w:rsid w:val="00D550A4"/>
    <w:rsid w:val="00D56F6C"/>
    <w:rsid w:val="00D570B1"/>
    <w:rsid w:val="00D57CA4"/>
    <w:rsid w:val="00D601BF"/>
    <w:rsid w:val="00D6160A"/>
    <w:rsid w:val="00D645CF"/>
    <w:rsid w:val="00D71ACF"/>
    <w:rsid w:val="00D7568E"/>
    <w:rsid w:val="00D774BD"/>
    <w:rsid w:val="00D80F3B"/>
    <w:rsid w:val="00D81B86"/>
    <w:rsid w:val="00D82EFF"/>
    <w:rsid w:val="00D83424"/>
    <w:rsid w:val="00D869B1"/>
    <w:rsid w:val="00DA73CD"/>
    <w:rsid w:val="00DB2D2B"/>
    <w:rsid w:val="00DB3261"/>
    <w:rsid w:val="00DB6E85"/>
    <w:rsid w:val="00DD09EA"/>
    <w:rsid w:val="00DD531F"/>
    <w:rsid w:val="00DD60DF"/>
    <w:rsid w:val="00DF0593"/>
    <w:rsid w:val="00DF1C72"/>
    <w:rsid w:val="00DF1CF1"/>
    <w:rsid w:val="00DF5677"/>
    <w:rsid w:val="00E01384"/>
    <w:rsid w:val="00E026CE"/>
    <w:rsid w:val="00E031CE"/>
    <w:rsid w:val="00E03BA2"/>
    <w:rsid w:val="00E05C15"/>
    <w:rsid w:val="00E12969"/>
    <w:rsid w:val="00E1704A"/>
    <w:rsid w:val="00E22E0E"/>
    <w:rsid w:val="00E26965"/>
    <w:rsid w:val="00E273B4"/>
    <w:rsid w:val="00E3618A"/>
    <w:rsid w:val="00E41501"/>
    <w:rsid w:val="00E41951"/>
    <w:rsid w:val="00E423A9"/>
    <w:rsid w:val="00E45D62"/>
    <w:rsid w:val="00E47D05"/>
    <w:rsid w:val="00E570C7"/>
    <w:rsid w:val="00E61F30"/>
    <w:rsid w:val="00E6348E"/>
    <w:rsid w:val="00E732FD"/>
    <w:rsid w:val="00E73569"/>
    <w:rsid w:val="00E77863"/>
    <w:rsid w:val="00E80231"/>
    <w:rsid w:val="00E8527B"/>
    <w:rsid w:val="00E852B0"/>
    <w:rsid w:val="00E8737B"/>
    <w:rsid w:val="00EA01BE"/>
    <w:rsid w:val="00EA23B1"/>
    <w:rsid w:val="00EA3B3C"/>
    <w:rsid w:val="00EA3D70"/>
    <w:rsid w:val="00EA51C4"/>
    <w:rsid w:val="00EA610F"/>
    <w:rsid w:val="00EA744F"/>
    <w:rsid w:val="00EC1C0F"/>
    <w:rsid w:val="00EC2AF2"/>
    <w:rsid w:val="00EC6BF4"/>
    <w:rsid w:val="00EC7D5E"/>
    <w:rsid w:val="00ED013A"/>
    <w:rsid w:val="00EE2FAD"/>
    <w:rsid w:val="00EE3840"/>
    <w:rsid w:val="00EE723B"/>
    <w:rsid w:val="00EF27B8"/>
    <w:rsid w:val="00EF68EB"/>
    <w:rsid w:val="00EF729D"/>
    <w:rsid w:val="00F02E2B"/>
    <w:rsid w:val="00F05B96"/>
    <w:rsid w:val="00F128E5"/>
    <w:rsid w:val="00F1334A"/>
    <w:rsid w:val="00F1736B"/>
    <w:rsid w:val="00F176E0"/>
    <w:rsid w:val="00F22715"/>
    <w:rsid w:val="00F22EA1"/>
    <w:rsid w:val="00F24196"/>
    <w:rsid w:val="00F2497E"/>
    <w:rsid w:val="00F25297"/>
    <w:rsid w:val="00F27AD1"/>
    <w:rsid w:val="00F33E64"/>
    <w:rsid w:val="00F35D21"/>
    <w:rsid w:val="00F401AE"/>
    <w:rsid w:val="00F46D9D"/>
    <w:rsid w:val="00F47A65"/>
    <w:rsid w:val="00F512D8"/>
    <w:rsid w:val="00F5376C"/>
    <w:rsid w:val="00F55F51"/>
    <w:rsid w:val="00F6191B"/>
    <w:rsid w:val="00F63BB4"/>
    <w:rsid w:val="00F647F5"/>
    <w:rsid w:val="00F64B01"/>
    <w:rsid w:val="00F66925"/>
    <w:rsid w:val="00F7042E"/>
    <w:rsid w:val="00F73112"/>
    <w:rsid w:val="00F73CA2"/>
    <w:rsid w:val="00F74DDD"/>
    <w:rsid w:val="00F760A9"/>
    <w:rsid w:val="00F83FFD"/>
    <w:rsid w:val="00FA0F17"/>
    <w:rsid w:val="00FA1DAD"/>
    <w:rsid w:val="00FA2B2B"/>
    <w:rsid w:val="00FA5971"/>
    <w:rsid w:val="00FA73BF"/>
    <w:rsid w:val="00FB0BEF"/>
    <w:rsid w:val="00FB3E02"/>
    <w:rsid w:val="00FB42A4"/>
    <w:rsid w:val="00FB5B8C"/>
    <w:rsid w:val="00FC0968"/>
    <w:rsid w:val="00FC0CD2"/>
    <w:rsid w:val="00FC50FB"/>
    <w:rsid w:val="00FC57E9"/>
    <w:rsid w:val="00FC631E"/>
    <w:rsid w:val="00FC7400"/>
    <w:rsid w:val="00FC7802"/>
    <w:rsid w:val="00FE1090"/>
    <w:rsid w:val="00FE65CB"/>
    <w:rsid w:val="00FF519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CE 55 Roman" w:eastAsiaTheme="minorHAnsi" w:hAnsi="Helvetica CE 55 Roman" w:cstheme="minorBidi"/>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2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B2B"/>
    <w:pPr>
      <w:ind w:left="720"/>
      <w:contextualSpacing/>
    </w:pPr>
  </w:style>
  <w:style w:type="paragraph" w:styleId="Header">
    <w:name w:val="header"/>
    <w:basedOn w:val="Normal"/>
    <w:link w:val="HeaderChar"/>
    <w:uiPriority w:val="99"/>
    <w:semiHidden/>
    <w:unhideWhenUsed/>
    <w:rsid w:val="00F55F51"/>
    <w:pPr>
      <w:tabs>
        <w:tab w:val="center" w:pos="4680"/>
        <w:tab w:val="right" w:pos="9360"/>
      </w:tabs>
    </w:pPr>
  </w:style>
  <w:style w:type="character" w:customStyle="1" w:styleId="HeaderChar">
    <w:name w:val="Header Char"/>
    <w:basedOn w:val="DefaultParagraphFont"/>
    <w:link w:val="Header"/>
    <w:uiPriority w:val="99"/>
    <w:semiHidden/>
    <w:rsid w:val="00F55F51"/>
  </w:style>
  <w:style w:type="paragraph" w:styleId="Footer">
    <w:name w:val="footer"/>
    <w:basedOn w:val="Normal"/>
    <w:link w:val="FooterChar"/>
    <w:uiPriority w:val="99"/>
    <w:unhideWhenUsed/>
    <w:rsid w:val="00F55F51"/>
    <w:pPr>
      <w:tabs>
        <w:tab w:val="center" w:pos="4680"/>
        <w:tab w:val="right" w:pos="9360"/>
      </w:tabs>
    </w:pPr>
  </w:style>
  <w:style w:type="character" w:customStyle="1" w:styleId="FooterChar">
    <w:name w:val="Footer Char"/>
    <w:basedOn w:val="DefaultParagraphFont"/>
    <w:link w:val="Footer"/>
    <w:uiPriority w:val="99"/>
    <w:rsid w:val="00F55F51"/>
  </w:style>
  <w:style w:type="paragraph" w:styleId="BalloonText">
    <w:name w:val="Balloon Text"/>
    <w:basedOn w:val="Normal"/>
    <w:link w:val="BalloonTextChar"/>
    <w:uiPriority w:val="99"/>
    <w:semiHidden/>
    <w:unhideWhenUsed/>
    <w:rsid w:val="001F1806"/>
    <w:rPr>
      <w:rFonts w:ascii="Tahoma" w:hAnsi="Tahoma" w:cs="Tahoma"/>
      <w:sz w:val="16"/>
      <w:szCs w:val="16"/>
    </w:rPr>
  </w:style>
  <w:style w:type="character" w:customStyle="1" w:styleId="BalloonTextChar">
    <w:name w:val="Balloon Text Char"/>
    <w:basedOn w:val="DefaultParagraphFont"/>
    <w:link w:val="BalloonText"/>
    <w:uiPriority w:val="99"/>
    <w:semiHidden/>
    <w:rsid w:val="001F1806"/>
    <w:rPr>
      <w:rFonts w:ascii="Tahoma" w:hAnsi="Tahoma" w:cs="Tahoma"/>
      <w:sz w:val="16"/>
      <w:szCs w:val="16"/>
    </w:rPr>
  </w:style>
  <w:style w:type="paragraph" w:styleId="NormalWeb">
    <w:name w:val="Normal (Web)"/>
    <w:basedOn w:val="Normal"/>
    <w:uiPriority w:val="99"/>
    <w:semiHidden/>
    <w:unhideWhenUsed/>
    <w:rsid w:val="00857F65"/>
    <w:pPr>
      <w:spacing w:before="100" w:beforeAutospacing="1" w:after="100" w:afterAutospacing="1"/>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BD2B3D"/>
    <w:rPr>
      <w:color w:val="0000FF" w:themeColor="hyperlink"/>
      <w:u w:val="single"/>
    </w:rPr>
  </w:style>
  <w:style w:type="paragraph" w:styleId="FootnoteText">
    <w:name w:val="footnote text"/>
    <w:basedOn w:val="Normal"/>
    <w:link w:val="FootnoteTextChar"/>
    <w:uiPriority w:val="99"/>
    <w:unhideWhenUsed/>
    <w:rsid w:val="002F391E"/>
    <w:rPr>
      <w:szCs w:val="20"/>
    </w:rPr>
  </w:style>
  <w:style w:type="character" w:customStyle="1" w:styleId="FootnoteTextChar">
    <w:name w:val="Footnote Text Char"/>
    <w:basedOn w:val="DefaultParagraphFont"/>
    <w:link w:val="FootnoteText"/>
    <w:uiPriority w:val="99"/>
    <w:rsid w:val="002F391E"/>
    <w:rPr>
      <w:szCs w:val="20"/>
    </w:rPr>
  </w:style>
  <w:style w:type="character" w:styleId="FootnoteReference">
    <w:name w:val="footnote reference"/>
    <w:basedOn w:val="DefaultParagraphFont"/>
    <w:uiPriority w:val="99"/>
    <w:semiHidden/>
    <w:unhideWhenUsed/>
    <w:rsid w:val="002F391E"/>
    <w:rPr>
      <w:vertAlign w:val="superscript"/>
    </w:rPr>
  </w:style>
  <w:style w:type="paragraph" w:styleId="Bibliography">
    <w:name w:val="Bibliography"/>
    <w:basedOn w:val="Normal"/>
    <w:next w:val="Normal"/>
    <w:uiPriority w:val="37"/>
    <w:unhideWhenUsed/>
    <w:rsid w:val="002F391E"/>
  </w:style>
  <w:style w:type="character" w:styleId="Emphasis">
    <w:name w:val="Emphasis"/>
    <w:basedOn w:val="DefaultParagraphFont"/>
    <w:uiPriority w:val="20"/>
    <w:qFormat/>
    <w:rsid w:val="000F7623"/>
    <w:rPr>
      <w:i/>
      <w:iCs/>
    </w:rPr>
  </w:style>
  <w:style w:type="character" w:styleId="FollowedHyperlink">
    <w:name w:val="FollowedHyperlink"/>
    <w:basedOn w:val="DefaultParagraphFont"/>
    <w:uiPriority w:val="99"/>
    <w:semiHidden/>
    <w:unhideWhenUsed/>
    <w:rsid w:val="00C866F1"/>
    <w:rPr>
      <w:color w:val="800080" w:themeColor="followedHyperlink"/>
      <w:u w:val="single"/>
    </w:rPr>
  </w:style>
  <w:style w:type="table" w:styleId="TableGrid">
    <w:name w:val="Table Grid"/>
    <w:basedOn w:val="TableNormal"/>
    <w:uiPriority w:val="59"/>
    <w:rsid w:val="00EC7D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EC7D5E"/>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1">
    <w:name w:val="Light Grid Accent 1"/>
    <w:basedOn w:val="TableNormal"/>
    <w:uiPriority w:val="62"/>
    <w:rsid w:val="006378E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4">
    <w:name w:val="Medium Shading 2 Accent 4"/>
    <w:basedOn w:val="TableNormal"/>
    <w:uiPriority w:val="64"/>
    <w:rsid w:val="006378E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6378E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Spacing">
    <w:name w:val="No Spacing"/>
    <w:link w:val="NoSpacingChar"/>
    <w:uiPriority w:val="1"/>
    <w:qFormat/>
    <w:rsid w:val="00340F28"/>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340F28"/>
    <w:rPr>
      <w:rFonts w:asciiTheme="minorHAnsi" w:eastAsiaTheme="minorEastAsia" w:hAnsiTheme="minorHAnsi"/>
      <w:sz w:val="22"/>
      <w:lang w:val="en-US"/>
    </w:rPr>
  </w:style>
</w:styles>
</file>

<file path=word/webSettings.xml><?xml version="1.0" encoding="utf-8"?>
<w:webSettings xmlns:r="http://schemas.openxmlformats.org/officeDocument/2006/relationships" xmlns:w="http://schemas.openxmlformats.org/wordprocessingml/2006/main">
  <w:divs>
    <w:div w:id="94511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Helvetica CE 55 Roman">
    <w:panose1 w:val="02000503040000020004"/>
    <w:charset w:val="00"/>
    <w:family w:val="auto"/>
    <w:pitch w:val="variable"/>
    <w:sig w:usb0="80000027" w:usb1="00000000" w:usb2="00000000" w:usb3="00000000" w:csb0="00000003"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61631"/>
    <w:rsid w:val="005A6AF1"/>
    <w:rsid w:val="0096163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94CA1D2AE94333A259EC882727F2EF">
    <w:name w:val="2094CA1D2AE94333A259EC882727F2EF"/>
    <w:rsid w:val="00961631"/>
  </w:style>
  <w:style w:type="paragraph" w:customStyle="1" w:styleId="92D022EB787E4D1AB7A027F5B9A4A00B">
    <w:name w:val="92D022EB787E4D1AB7A027F5B9A4A00B"/>
    <w:rsid w:val="00961631"/>
  </w:style>
  <w:style w:type="paragraph" w:customStyle="1" w:styleId="4DE8BE71EE004C72B23D0B2A52FB04FF">
    <w:name w:val="4DE8BE71EE004C72B23D0B2A52FB04FF"/>
    <w:rsid w:val="0096163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b:Source>
    <b:Tag>Can11</b:Tag>
    <b:SourceType>InternetSite</b:SourceType>
    <b:Guid>{90C14557-0393-494D-901B-A844478E1780}</b:Guid>
    <b:LCID>0</b:LCID>
    <b:Author>
      <b:Author>
        <b:Corporate>Canadian Energy Pipeline Association via Suncor</b:Corporate>
      </b:Author>
    </b:Author>
    <b:Title>If not pipelines then what?</b:Title>
    <b:Year>2011</b:Year>
    <b:Month>February</b:Month>
    <b:Day>9</b:Day>
    <b:YearAccessed>2012</b:YearAccessed>
    <b:MonthAccessed>February</b:MonthAccessed>
    <b:DayAccessed>1</b:DayAccessed>
    <b:Medium>Blog</b:Medium>
    <b:InternetSiteTitle>Oil Sands Question and Response</b:InternetSiteTitle>
    <b:RefOrder>1</b:RefOrder>
  </b:Source>
</b:Sources>
</file>

<file path=customXml/itemProps1.xml><?xml version="1.0" encoding="utf-8"?>
<ds:datastoreItem xmlns:ds="http://schemas.openxmlformats.org/officeDocument/2006/customXml" ds:itemID="{3398D5F3-E328-408E-A189-DFFE6116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12</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646</cp:revision>
  <cp:lastPrinted>2012-03-22T13:48:00Z</cp:lastPrinted>
  <dcterms:created xsi:type="dcterms:W3CDTF">2012-03-20T01:12:00Z</dcterms:created>
  <dcterms:modified xsi:type="dcterms:W3CDTF">2012-03-22T19:53:00Z</dcterms:modified>
</cp:coreProperties>
</file>